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86.png" ContentType="image/png"/>
  <Override PartName="/word/media/rId165.png" ContentType="image/png"/>
  <Override PartName="/word/media/rId126.png" ContentType="image/png"/>
  <Override PartName="/word/media/rId20.jpg" ContentType="image/jpeg"/>
  <Override PartName="/word/media/rId44.png" ContentType="image/png"/>
  <Override PartName="/word/media/rId101.png" ContentType="image/png"/>
  <Override PartName="/word/media/rId32.jpg" ContentType="image/jpeg"/>
  <Override PartName="/word/media/rId50.png" ContentType="image/png"/>
  <Override PartName="/word/media/rId29.jpg" ContentType="image/jpeg"/>
  <Override PartName="/word/media/rId154.png" ContentType="image/png"/>
  <Override PartName="/word/media/rId25.jpg" ContentType="image/jpeg"/>
  <Override PartName="/word/media/rId104.jpg" ContentType="image/jpeg"/>
  <Override PartName="/word/media/rId35.png" ContentType="image/png"/>
  <Override PartName="/word/media/rId53.png" ContentType="image/png"/>
  <Override PartName="/word/media/rId38.png" ContentType="image/png"/>
  <Override PartName="/word/media/rId107.png" ContentType="image/png"/>
  <Override PartName="/word/media/rId47.png" ContentType="image/png"/>
  <Override PartName="/word/media/rId147.png" ContentType="image/png"/>
  <Override PartName="/word/media/rId56.png" ContentType="image/png"/>
  <Override PartName="/word/media/rId41.png" ContentType="image/png"/>
  <Override PartName="/word/media/rId6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IR٭</w:t>
      </w:r>
      <w:r>
        <w:t xml:space="preserve"> </w:t>
      </w:r>
      <w:r>
        <w:rPr>
          <w:bCs/>
          <w:b/>
        </w:rPr>
        <w:t xml:space="preserve">Huma-Num</w:t>
      </w:r>
      <w:r>
        <w:t xml:space="preserve"> :</w:t>
      </w:r>
      <w:r>
        <w:t xml:space="preserve">Trouvez</w:t>
      </w:r>
      <w:r>
        <w:t xml:space="preserve"> </w:t>
      </w:r>
      <w:r>
        <w:t xml:space="preserve">votre</w:t>
      </w:r>
      <w:r>
        <w:t xml:space="preserve"> </w:t>
      </w:r>
      <w:r>
        <w:rPr>
          <w:bCs/>
          <w:b/>
        </w:rPr>
        <w:t xml:space="preserve">consortium</w:t>
      </w:r>
      <w:r>
        <w:t xml:space="preserve"> </w:t>
      </w:r>
      <w:r>
        <w:t xml:space="preserve">et</w:t>
      </w:r>
      <w:r>
        <w:t xml:space="preserve"> </w:t>
      </w:r>
      <w:r>
        <w:t xml:space="preserve">utilisez</w:t>
      </w:r>
      <w:r>
        <w:t xml:space="preserve"> </w:t>
      </w:r>
      <w:r>
        <w:t xml:space="preserve">les</w:t>
      </w:r>
      <w:r>
        <w:t xml:space="preserve"> </w:t>
      </w:r>
      <w:r>
        <w:rPr>
          <w:bCs/>
          <w:b/>
        </w:rPr>
        <w:t xml:space="preserve">outils</w:t>
      </w:r>
      <w:r>
        <w:t xml:space="preserve"> </w:t>
      </w:r>
      <w:r>
        <w:t xml:space="preserve">disponibles</w:t>
      </w:r>
    </w:p>
    <w:p>
      <w:pPr>
        <w:pStyle w:val="Subtitle"/>
      </w:pPr>
      <w:r>
        <w:t xml:space="preserve">UPPA</w:t>
      </w:r>
      <w:r>
        <w:t xml:space="preserve"> </w:t>
      </w:r>
      <w:r>
        <w:t xml:space="preserve">-</w:t>
      </w:r>
      <w:r>
        <w:t xml:space="preserve"> </w:t>
      </w:r>
      <w:r>
        <w:t xml:space="preserve">ED</w:t>
      </w:r>
      <w:r>
        <w:t xml:space="preserve"> </w:t>
      </w:r>
      <w:r>
        <w:t xml:space="preserve">481</w:t>
      </w:r>
      <w:r>
        <w:t xml:space="preserve"> </w:t>
      </w:r>
      <w:r>
        <w:t xml:space="preserve">SSH</w:t>
      </w:r>
      <w:r>
        <w:t xml:space="preserve"> </w:t>
      </w:r>
      <w:r>
        <w:t xml:space="preserve">/</w:t>
      </w:r>
      <w:r>
        <w:t xml:space="preserve"> </w:t>
      </w:r>
      <w:r>
        <w:t xml:space="preserve">Outils</w:t>
      </w:r>
      <w:r>
        <w:t xml:space="preserve"> </w:t>
      </w:r>
      <w:r>
        <w:t xml:space="preserve">pour</w:t>
      </w:r>
      <w:r>
        <w:t xml:space="preserve"> </w:t>
      </w:r>
      <w:r>
        <w:t xml:space="preserve">les</w:t>
      </w:r>
      <w:r>
        <w:t xml:space="preserve"> </w:t>
      </w:r>
      <w:r>
        <w:t xml:space="preserve">humanités</w:t>
      </w:r>
      <w:r>
        <w:t xml:space="preserve"> </w:t>
      </w:r>
      <w:r>
        <w:t xml:space="preserve">numériques</w:t>
      </w:r>
    </w:p>
    <w:p>
      <w:pPr>
        <w:pStyle w:val="Author"/>
      </w:pPr>
      <w:r>
        <w:t xml:space="preserve">Julien</w:t>
      </w:r>
      <w:r>
        <w:t xml:space="preserve"> </w:t>
      </w:r>
      <w:r>
        <w:t xml:space="preserve">Rabaud</w:t>
      </w:r>
    </w:p>
    <w:p>
      <w:pPr>
        <w:pStyle w:val="Date"/>
      </w:pPr>
      <w:r>
        <w:t xml:space="preserve">2024-11-18</w:t>
      </w:r>
    </w:p>
    <w:sdt>
      <w:sdtPr>
        <w:docPartObj>
          <w:docPartGallery w:val="Table of Contents"/>
          <w:docPartUnique/>
        </w:docPartObj>
      </w:sdtPr>
      <w:sdtContent>
        <w:p>
          <w:pPr>
            <w:pStyle w:val="TOCHeading"/>
          </w:pPr>
          <w:r>
            <w:t xml:space="preserve">Sommaire</w:t>
          </w:r>
        </w:p>
        <w:p>
          <w:r>
            <w:fldChar w:fldCharType="begin" w:dirty="true"/>
            <w:instrText xml:space="preserve">TOC \o "1-5" \h \z \u</w:instrText>
            <w:fldChar w:fldCharType="separate"/>
            <w:fldChar w:fldCharType="end"/>
          </w:r>
        </w:p>
      </w:sdtContent>
    </w:sdt>
    <w:bookmarkStart w:id="60" w:name="accueil"/>
    <w:p>
      <w:pPr>
        <w:pStyle w:val="Heading1"/>
      </w:pPr>
      <w:r>
        <w:t xml:space="preserve">Accueil</w:t>
      </w:r>
    </w:p>
    <w:p>
      <w:pPr>
        <w:pStyle w:val="FirstParagraph"/>
      </w:pPr>
      <w:bookmarkStart w:id="23" w:name="logoaccueil"/>
      <w:r>
        <w:drawing>
          <wp:inline>
            <wp:extent cx="5334000" cy="1704379"/>
            <wp:effectExtent b="0" l="0" r="0" t="0"/>
            <wp:docPr descr="" title="" id="21" name="Picture"/>
            <a:graphic>
              <a:graphicData uri="http://schemas.openxmlformats.org/drawingml/2006/picture">
                <pic:pic>
                  <pic:nvPicPr>
                    <pic:cNvPr descr="IMG/HN_LOGO_COULEUR-RVB_Logo-scaled.jpg" id="22" name="Picture"/>
                    <pic:cNvPicPr>
                      <a:picLocks noChangeArrowheads="1" noChangeAspect="1"/>
                    </pic:cNvPicPr>
                  </pic:nvPicPr>
                  <pic:blipFill>
                    <a:blip r:embed="rId20"/>
                    <a:stretch>
                      <a:fillRect/>
                    </a:stretch>
                  </pic:blipFill>
                  <pic:spPr bwMode="auto">
                    <a:xfrm>
                      <a:off x="0" y="0"/>
                      <a:ext cx="5334000" cy="1704379"/>
                    </a:xfrm>
                    <a:prstGeom prst="rect">
                      <a:avLst/>
                    </a:prstGeom>
                    <a:noFill/>
                    <a:ln w="9525">
                      <a:noFill/>
                      <a:headEnd/>
                      <a:tailEnd/>
                    </a:ln>
                  </pic:spPr>
                </pic:pic>
              </a:graphicData>
            </a:graphic>
          </wp:inline>
        </w:drawing>
      </w:r>
      <w:bookmarkEnd w:id="23"/>
    </w:p>
    <w:bookmarkStart w:id="24" w:name="Xf10cde3401a71c552d07593f6e167bde530a6a7"/>
    <w:p>
      <w:pPr>
        <w:pStyle w:val="Heading3"/>
      </w:pPr>
      <w:r>
        <w:t xml:space="preserve">Des outils et des services numériques</w:t>
      </w:r>
      <w:r>
        <w:t xml:space="preserve">pour manipuler et produire des données</w:t>
      </w:r>
      <w:r>
        <w:t xml:space="preserve"> </w:t>
      </w:r>
      <w:r>
        <w:rPr>
          <w:bCs/>
          <w:b/>
        </w:rPr>
        <w:t xml:space="preserve">FAIR</w:t>
      </w:r>
    </w:p>
    <w:bookmarkEnd w:id="24"/>
    <w:p>
      <w:pPr>
        <w:pStyle w:val="FirstParagraph"/>
      </w:pPr>
      <w:r>
        <w:drawing>
          <wp:inline>
            <wp:extent cx="5334000" cy="2976217"/>
            <wp:effectExtent b="0" l="0" r="0" t="0"/>
            <wp:docPr descr="" title="" id="26" name="Picture"/>
            <a:graphic>
              <a:graphicData uri="http://schemas.openxmlformats.org/drawingml/2006/picture">
                <pic:pic>
                  <pic:nvPicPr>
                    <pic:cNvPr descr="IMG/Schema-du-cycle-de-vie-des-donnees-HN_2023_FR-2-scaled.jpg" id="27" name="Picture"/>
                    <pic:cNvPicPr>
                      <a:picLocks noChangeArrowheads="1" noChangeAspect="1"/>
                    </pic:cNvPicPr>
                  </pic:nvPicPr>
                  <pic:blipFill>
                    <a:blip r:embed="rId25"/>
                    <a:stretch>
                      <a:fillRect/>
                    </a:stretch>
                  </pic:blipFill>
                  <pic:spPr bwMode="auto">
                    <a:xfrm>
                      <a:off x="0" y="0"/>
                      <a:ext cx="5334000" cy="2976217"/>
                    </a:xfrm>
                    <a:prstGeom prst="rect">
                      <a:avLst/>
                    </a:prstGeom>
                    <a:noFill/>
                    <a:ln w="9525">
                      <a:noFill/>
                      <a:headEnd/>
                      <a:tailEnd/>
                    </a:ln>
                  </pic:spPr>
                </pic:pic>
              </a:graphicData>
            </a:graphic>
          </wp:inline>
        </w:drawing>
      </w:r>
    </w:p>
    <w:bookmarkStart w:id="28" w:name="X469756e22905bcd6dd58bd92a14edaa69f490c3"/>
    <w:p>
      <w:pPr>
        <w:pStyle w:val="Heading3"/>
      </w:pPr>
      <w:r>
        <w:t xml:space="preserve">Des</w:t>
      </w:r>
      <w:r>
        <w:t xml:space="preserve"> </w:t>
      </w:r>
      <w:r>
        <w:rPr>
          <w:bCs/>
          <w:b/>
        </w:rPr>
        <w:t xml:space="preserve">consortiums</w:t>
      </w:r>
      <w:r>
        <w:t xml:space="preserve"> </w:t>
      </w:r>
      <w:r>
        <w:t xml:space="preserve">thématiques pour collaborer, échanger, partager, élaborer des méthodologies, publier des guides ou des thésaurus, organiser des formations ou des journées d’études</w:t>
      </w:r>
    </w:p>
    <w:bookmarkEnd w:id="28"/>
    <w:tbl>
      <w:tblPr>
        <w:tblStyle w:val="Table"/>
        <w:tblW w:type="pct" w:w="4995"/>
        <w:tblLook w:firstRow="0" w:lastRow="0" w:firstColumn="0" w:lastColumn="0" w:noHBand="0" w:noVBand="0" w:val="0000"/>
        <w:jc w:val="start"/>
        <w:tblLayout w:type="fixed"/>
      </w:tblPr>
      <w:tblGrid>
        <w:gridCol w:w="2637"/>
        <w:gridCol w:w="2637"/>
        <w:gridCol w:w="2637"/>
      </w:tblGrid>
      <w:tr>
        <w:tc>
          <w:tcPr/>
          <w:p>
            <w:pPr>
              <w:jc w:val="center"/>
            </w:pPr>
            <w:r>
              <w:drawing>
                <wp:inline>
                  <wp:extent cx="1975104" cy="687336"/>
                  <wp:effectExtent b="0" l="0" r="0" t="0"/>
                  <wp:docPr descr="" title="" id="30" name="Picture"/>
                  <a:graphic>
                    <a:graphicData uri="http://schemas.openxmlformats.org/drawingml/2006/picture">
                      <pic:pic>
                        <pic:nvPicPr>
                          <pic:cNvPr descr="IMG/Pictoria-200x70.jpg" id="31" name="Picture"/>
                          <pic:cNvPicPr>
                            <a:picLocks noChangeArrowheads="1" noChangeAspect="1"/>
                          </pic:cNvPicPr>
                        </pic:nvPicPr>
                        <pic:blipFill>
                          <a:blip r:embed="rId29"/>
                          <a:stretch>
                            <a:fillRect/>
                          </a:stretch>
                        </pic:blipFill>
                        <pic:spPr bwMode="auto">
                          <a:xfrm>
                            <a:off x="0" y="0"/>
                            <a:ext cx="1975104" cy="687336"/>
                          </a:xfrm>
                          <a:prstGeom prst="rect">
                            <a:avLst/>
                          </a:prstGeom>
                          <a:noFill/>
                          <a:ln w="9525">
                            <a:noFill/>
                            <a:headEnd/>
                            <a:tailEnd/>
                          </a:ln>
                        </pic:spPr>
                      </pic:pic>
                    </a:graphicData>
                  </a:graphic>
                </wp:inline>
              </w:drawing>
            </w:r>
          </w:p>
        </w:tc>
        <w:tc>
          <w:tcPr/>
          <w:p>
            <w:pPr>
              <w:jc w:val="center"/>
            </w:pPr>
            <w:r>
              <w:drawing>
                <wp:inline>
                  <wp:extent cx="1975104" cy="849294"/>
                  <wp:effectExtent b="0" l="0" r="0" t="0"/>
                  <wp:docPr descr="" title="" id="33" name="Picture"/>
                  <a:graphic>
                    <a:graphicData uri="http://schemas.openxmlformats.org/drawingml/2006/picture">
                      <pic:pic>
                        <pic:nvPicPr>
                          <pic:cNvPr descr="IMG/Logo_ARIANE-200x86.jpg" id="34" name="Picture"/>
                          <pic:cNvPicPr>
                            <a:picLocks noChangeArrowheads="1" noChangeAspect="1"/>
                          </pic:cNvPicPr>
                        </pic:nvPicPr>
                        <pic:blipFill>
                          <a:blip r:embed="rId32"/>
                          <a:stretch>
                            <a:fillRect/>
                          </a:stretch>
                        </pic:blipFill>
                        <pic:spPr bwMode="auto">
                          <a:xfrm>
                            <a:off x="0" y="0"/>
                            <a:ext cx="1975104" cy="849294"/>
                          </a:xfrm>
                          <a:prstGeom prst="rect">
                            <a:avLst/>
                          </a:prstGeom>
                          <a:noFill/>
                          <a:ln w="9525">
                            <a:noFill/>
                            <a:headEnd/>
                            <a:tailEnd/>
                          </a:ln>
                        </pic:spPr>
                      </pic:pic>
                    </a:graphicData>
                  </a:graphic>
                </wp:inline>
              </w:drawing>
            </w:r>
          </w:p>
        </w:tc>
        <w:tc>
          <w:tcPr/>
          <w:p>
            <w:pPr>
              <w:jc w:val="center"/>
            </w:pPr>
            <w:r>
              <w:drawing>
                <wp:inline>
                  <wp:extent cx="1975104" cy="513527"/>
                  <wp:effectExtent b="0" l="0" r="0" t="0"/>
                  <wp:docPr descr="" title="" id="36" name="Picture"/>
                  <a:graphic>
                    <a:graphicData uri="http://schemas.openxmlformats.org/drawingml/2006/picture">
                      <pic:pic>
                        <pic:nvPicPr>
                          <pic:cNvPr descr="IMG/logo-3DHN-200x52.png" id="37" name="Picture"/>
                          <pic:cNvPicPr>
                            <a:picLocks noChangeArrowheads="1" noChangeAspect="1"/>
                          </pic:cNvPicPr>
                        </pic:nvPicPr>
                        <pic:blipFill>
                          <a:blip r:embed="rId35"/>
                          <a:stretch>
                            <a:fillRect/>
                          </a:stretch>
                        </pic:blipFill>
                        <pic:spPr bwMode="auto">
                          <a:xfrm>
                            <a:off x="0" y="0"/>
                            <a:ext cx="1975104" cy="513527"/>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95"/>
        <w:tblLook w:firstRow="0" w:lastRow="0" w:firstColumn="0" w:lastColumn="0" w:noHBand="0" w:noVBand="0" w:val="0000"/>
        <w:jc w:val="start"/>
        <w:tblLayout w:type="fixed"/>
      </w:tblPr>
      <w:tblGrid>
        <w:gridCol w:w="2637"/>
        <w:gridCol w:w="2637"/>
        <w:gridCol w:w="2637"/>
      </w:tblGrid>
      <w:tr>
        <w:tc>
          <w:tcPr/>
          <w:p>
            <w:pPr>
              <w:jc w:val="center"/>
            </w:pPr>
            <w:r>
              <w:drawing>
                <wp:inline>
                  <wp:extent cx="1975104" cy="790041"/>
                  <wp:effectExtent b="0" l="0" r="0" t="0"/>
                  <wp:docPr descr="" title="" id="39" name="Picture"/>
                  <a:graphic>
                    <a:graphicData uri="http://schemas.openxmlformats.org/drawingml/2006/picture">
                      <pic:pic>
                        <pic:nvPicPr>
                          <pic:cNvPr descr="IMG/logo-PTM-png-200x80.png" id="40" name="Picture"/>
                          <pic:cNvPicPr>
                            <a:picLocks noChangeArrowheads="1" noChangeAspect="1"/>
                          </pic:cNvPicPr>
                        </pic:nvPicPr>
                        <pic:blipFill>
                          <a:blip r:embed="rId38"/>
                          <a:stretch>
                            <a:fillRect/>
                          </a:stretch>
                        </pic:blipFill>
                        <pic:spPr bwMode="auto">
                          <a:xfrm>
                            <a:off x="0" y="0"/>
                            <a:ext cx="1975104" cy="790041"/>
                          </a:xfrm>
                          <a:prstGeom prst="rect">
                            <a:avLst/>
                          </a:prstGeom>
                          <a:noFill/>
                          <a:ln w="9525">
                            <a:noFill/>
                            <a:headEnd/>
                            <a:tailEnd/>
                          </a:ln>
                        </pic:spPr>
                      </pic:pic>
                    </a:graphicData>
                  </a:graphic>
                </wp:inline>
              </w:drawing>
            </w:r>
          </w:p>
        </w:tc>
        <w:tc>
          <w:tcPr/>
          <w:p>
            <w:pPr>
              <w:jc w:val="center"/>
            </w:pPr>
            <w:r>
              <w:drawing>
                <wp:inline>
                  <wp:extent cx="1975104" cy="799917"/>
                  <wp:effectExtent b="0" l="0" r="0" t="0"/>
                  <wp:docPr descr="" title="" id="42" name="Picture"/>
                  <a:graphic>
                    <a:graphicData uri="http://schemas.openxmlformats.org/drawingml/2006/picture">
                      <pic:pic>
                        <pic:nvPicPr>
                          <pic:cNvPr descr="IMG/logo_MASAplus-200x81.png" id="43" name="Picture"/>
                          <pic:cNvPicPr>
                            <a:picLocks noChangeArrowheads="1" noChangeAspect="1"/>
                          </pic:cNvPicPr>
                        </pic:nvPicPr>
                        <pic:blipFill>
                          <a:blip r:embed="rId41"/>
                          <a:stretch>
                            <a:fillRect/>
                          </a:stretch>
                        </pic:blipFill>
                        <pic:spPr bwMode="auto">
                          <a:xfrm>
                            <a:off x="0" y="0"/>
                            <a:ext cx="1975104" cy="799917"/>
                          </a:xfrm>
                          <a:prstGeom prst="rect">
                            <a:avLst/>
                          </a:prstGeom>
                          <a:noFill/>
                          <a:ln w="9525">
                            <a:noFill/>
                            <a:headEnd/>
                            <a:tailEnd/>
                          </a:ln>
                        </pic:spPr>
                      </pic:pic>
                    </a:graphicData>
                  </a:graphic>
                </wp:inline>
              </w:drawing>
            </w:r>
          </w:p>
        </w:tc>
        <w:tc>
          <w:tcPr/>
          <w:p>
            <w:pPr>
              <w:jc w:val="center"/>
            </w:pPr>
            <w:r>
              <w:drawing>
                <wp:inline>
                  <wp:extent cx="1975104" cy="1143000"/>
                  <wp:effectExtent b="0" l="0" r="0" t="0"/>
                  <wp:docPr descr="" title="" id="45" name="Picture"/>
                  <a:graphic>
                    <a:graphicData uri="http://schemas.openxmlformats.org/drawingml/2006/picture">
                      <pic:pic>
                        <pic:nvPicPr>
                          <pic:cNvPr descr="IMG/LOGO-DISTAM-sans-texte-200x158.png" id="46" name="Picture"/>
                          <pic:cNvPicPr>
                            <a:picLocks noChangeArrowheads="1" noChangeAspect="1"/>
                          </pic:cNvPicPr>
                        </pic:nvPicPr>
                        <pic:blipFill>
                          <a:blip r:embed="rId44"/>
                          <a:stretch>
                            <a:fillRect/>
                          </a:stretch>
                        </pic:blipFill>
                        <pic:spPr bwMode="auto">
                          <a:xfrm>
                            <a:off x="0" y="0"/>
                            <a:ext cx="1975104" cy="1143000"/>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95"/>
        <w:tblLook w:firstRow="0" w:lastRow="0" w:firstColumn="0" w:lastColumn="0" w:noHBand="0" w:noVBand="0" w:val="0000"/>
        <w:jc w:val="start"/>
        <w:tblLayout w:type="fixed"/>
      </w:tblPr>
      <w:tblGrid>
        <w:gridCol w:w="2637"/>
        <w:gridCol w:w="2637"/>
        <w:gridCol w:w="2637"/>
      </w:tblGrid>
      <w:tr>
        <w:tc>
          <w:tcPr/>
          <w:p>
            <w:pPr>
              <w:jc w:val="center"/>
            </w:pPr>
            <w:r>
              <w:drawing>
                <wp:inline>
                  <wp:extent cx="1975104" cy="1254191"/>
                  <wp:effectExtent b="0" l="0" r="0" t="0"/>
                  <wp:docPr descr="" title="" id="48" name="Picture"/>
                  <a:graphic>
                    <a:graphicData uri="http://schemas.openxmlformats.org/drawingml/2006/picture">
                      <pic:pic>
                        <pic:nvPicPr>
                          <pic:cNvPr descr="IMG/logo-canevas_png-200x127.png" id="49" name="Picture"/>
                          <pic:cNvPicPr>
                            <a:picLocks noChangeArrowheads="1" noChangeAspect="1"/>
                          </pic:cNvPicPr>
                        </pic:nvPicPr>
                        <pic:blipFill>
                          <a:blip r:embed="rId47"/>
                          <a:stretch>
                            <a:fillRect/>
                          </a:stretch>
                        </pic:blipFill>
                        <pic:spPr bwMode="auto">
                          <a:xfrm>
                            <a:off x="0" y="0"/>
                            <a:ext cx="1975104" cy="1254191"/>
                          </a:xfrm>
                          <a:prstGeom prst="rect">
                            <a:avLst/>
                          </a:prstGeom>
                          <a:noFill/>
                          <a:ln w="9525">
                            <a:noFill/>
                            <a:headEnd/>
                            <a:tailEnd/>
                          </a:ln>
                        </pic:spPr>
                      </pic:pic>
                    </a:graphicData>
                  </a:graphic>
                </wp:inline>
              </w:drawing>
            </w:r>
          </w:p>
        </w:tc>
        <w:tc>
          <w:tcPr/>
          <w:p>
            <w:pPr>
              <w:jc w:val="center"/>
            </w:pPr>
            <w:r>
              <w:drawing>
                <wp:inline>
                  <wp:extent cx="1975104" cy="1175186"/>
                  <wp:effectExtent b="0" l="0" r="0" t="0"/>
                  <wp:docPr descr="" title="" id="51" name="Picture"/>
                  <a:graphic>
                    <a:graphicData uri="http://schemas.openxmlformats.org/drawingml/2006/picture">
                      <pic:pic>
                        <pic:nvPicPr>
                          <pic:cNvPr descr="IMG/Musica-2-1-200x119.png" id="52" name="Picture"/>
                          <pic:cNvPicPr>
                            <a:picLocks noChangeArrowheads="1" noChangeAspect="1"/>
                          </pic:cNvPicPr>
                        </pic:nvPicPr>
                        <pic:blipFill>
                          <a:blip r:embed="rId50"/>
                          <a:stretch>
                            <a:fillRect/>
                          </a:stretch>
                        </pic:blipFill>
                        <pic:spPr bwMode="auto">
                          <a:xfrm>
                            <a:off x="0" y="0"/>
                            <a:ext cx="1975104" cy="1175186"/>
                          </a:xfrm>
                          <a:prstGeom prst="rect">
                            <a:avLst/>
                          </a:prstGeom>
                          <a:noFill/>
                          <a:ln w="9525">
                            <a:noFill/>
                            <a:headEnd/>
                            <a:tailEnd/>
                          </a:ln>
                        </pic:spPr>
                      </pic:pic>
                    </a:graphicData>
                  </a:graphic>
                </wp:inline>
              </w:drawing>
            </w:r>
          </w:p>
        </w:tc>
        <w:tc>
          <w:tcPr/>
          <w:p>
            <w:pPr>
              <w:jc w:val="center"/>
            </w:pPr>
            <w:r>
              <w:drawing>
                <wp:inline>
                  <wp:extent cx="1975104" cy="839419"/>
                  <wp:effectExtent b="0" l="0" r="0" t="0"/>
                  <wp:docPr descr="" title="" id="54" name="Picture"/>
                  <a:graphic>
                    <a:graphicData uri="http://schemas.openxmlformats.org/drawingml/2006/picture">
                      <pic:pic>
                        <pic:nvPicPr>
                          <pic:cNvPr descr="IMG/logo-CORLI-png.png" id="55" name="Picture"/>
                          <pic:cNvPicPr>
                            <a:picLocks noChangeArrowheads="1" noChangeAspect="1"/>
                          </pic:cNvPicPr>
                        </pic:nvPicPr>
                        <pic:blipFill>
                          <a:blip r:embed="rId53"/>
                          <a:stretch>
                            <a:fillRect/>
                          </a:stretch>
                        </pic:blipFill>
                        <pic:spPr bwMode="auto">
                          <a:xfrm>
                            <a:off x="0" y="0"/>
                            <a:ext cx="1975104" cy="839419"/>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1665"/>
        <w:tblLook w:firstRow="0" w:lastRow="0" w:firstColumn="0" w:lastColumn="0" w:noHBand="0" w:noVBand="0" w:val="0000"/>
        <w:jc w:val="start"/>
        <w:tblLayout w:type="fixed"/>
      </w:tblPr>
      <w:tblGrid>
        <w:gridCol w:w="2637"/>
      </w:tblGrid>
      <w:tr>
        <w:tc>
          <w:tcPr/>
          <w:p>
            <w:pPr>
              <w:jc w:val="center"/>
            </w:pPr>
            <w:r>
              <w:drawing>
                <wp:inline>
                  <wp:extent cx="1975104" cy="1524000"/>
                  <wp:effectExtent b="0" l="0" r="0" t="0"/>
                  <wp:docPr descr="" title="" id="57" name="Picture"/>
                  <a:graphic>
                    <a:graphicData uri="http://schemas.openxmlformats.org/drawingml/2006/picture">
                      <pic:pic>
                        <pic:nvPicPr>
                          <pic:cNvPr descr="IMG/logo-sol-picto-194x200.png" id="58" name="Picture"/>
                          <pic:cNvPicPr>
                            <a:picLocks noChangeArrowheads="1" noChangeAspect="1"/>
                          </pic:cNvPicPr>
                        </pic:nvPicPr>
                        <pic:blipFill>
                          <a:blip r:embed="rId56"/>
                          <a:stretch>
                            <a:fillRect/>
                          </a:stretch>
                        </pic:blipFill>
                        <pic:spPr bwMode="auto">
                          <a:xfrm>
                            <a:off x="0" y="0"/>
                            <a:ext cx="1975104" cy="1524000"/>
                          </a:xfrm>
                          <a:prstGeom prst="rect">
                            <a:avLst/>
                          </a:prstGeom>
                          <a:noFill/>
                          <a:ln w="9525">
                            <a:noFill/>
                            <a:headEnd/>
                            <a:tailEnd/>
                          </a:ln>
                        </pic:spPr>
                      </pic:pic>
                    </a:graphicData>
                  </a:graphic>
                </wp:inline>
              </w:drawing>
            </w:r>
          </w:p>
        </w:tc>
      </w:tr>
    </w:tbl>
    <w:p>
      <w:r>
        <w:pict>
          <v:rect style="width:0;height:1.5pt" o:hralign="center" o:hrstd="t" o:hr="t"/>
        </w:pict>
      </w:r>
    </w:p>
    <w:p>
      <w:pPr>
        <w:pStyle w:val="FirstParagraph"/>
      </w:pPr>
      <w:r>
        <w:rPr>
          <w:iCs/>
          <w:i/>
        </w:rPr>
        <w:t xml:space="preserve">Site réalisé avec</w:t>
      </w:r>
      <w:r>
        <w:rPr>
          <w:iCs/>
          <w:i/>
        </w:rPr>
        <w:t xml:space="preserve"> </w:t>
      </w:r>
      <w:hyperlink r:id="rId59">
        <w:r>
          <w:rPr>
            <w:rStyle w:val="Hyperlink"/>
            <w:iCs/>
            <w:i/>
          </w:rPr>
          <w:t xml:space="preserve">Quarto</w:t>
        </w:r>
      </w:hyperlink>
      <w:r>
        <w:t xml:space="preserve">.</w:t>
      </w:r>
    </w:p>
    <w:bookmarkEnd w:id="60"/>
    <w:bookmarkStart w:id="65" w:name="historique"/>
    <w:p>
      <w:pPr>
        <w:pStyle w:val="Heading1"/>
      </w:pPr>
      <w:r>
        <w:t xml:space="preserve">Historique</w:t>
      </w:r>
    </w:p>
    <w:p>
      <w:pPr>
        <w:numPr>
          <w:ilvl w:val="0"/>
          <w:numId w:val="1001"/>
        </w:numPr>
        <w:pStyle w:val="Compact"/>
      </w:pPr>
      <w:r>
        <w:t xml:space="preserve">Source officielle</w:t>
      </w:r>
      <w:r>
        <w:t xml:space="preserve"> </w:t>
      </w:r>
      <w:r>
        <w:t xml:space="preserve">(Huma-Num, 2023)</w:t>
      </w:r>
      <w:r>
        <w:t xml:space="preserve"> </w:t>
      </w:r>
      <w:r>
        <w:t xml:space="preserve">:</w:t>
      </w:r>
    </w:p>
    <w:p>
      <w:pPr>
        <w:numPr>
          <w:ilvl w:val="1"/>
          <w:numId w:val="1002"/>
        </w:numPr>
      </w:pPr>
      <w:hyperlink r:id="rId61">
        <w:r>
          <w:rPr>
            <w:rStyle w:val="Hyperlink"/>
          </w:rPr>
          <w:t xml:space="preserve">https://www.huma-num.fr/quest-ce-que-l-ir-huma-num/</w:t>
        </w:r>
      </w:hyperlink>
    </w:p>
    <w:p>
      <w:pPr>
        <w:numPr>
          <w:ilvl w:val="1"/>
          <w:numId w:val="1000"/>
        </w:numPr>
        <w:pStyle w:val="BlockText"/>
      </w:pPr>
      <w:r>
        <w:t xml:space="preserve">Huma-Num est le produit de la fusion au 1er mars 2013 de deux infrastructures : le très grand équipement</w:t>
      </w:r>
      <w:r>
        <w:t xml:space="preserve"> </w:t>
      </w:r>
      <w:r>
        <w:rPr>
          <w:bCs/>
          <w:b/>
        </w:rPr>
        <w:t xml:space="preserve">Adonis</w:t>
      </w:r>
      <w:r>
        <w:t xml:space="preserve"> </w:t>
      </w:r>
      <w:r>
        <w:t xml:space="preserve">(TGE) et l’infrastructure de recherche</w:t>
      </w:r>
      <w:r>
        <w:t xml:space="preserve"> </w:t>
      </w:r>
      <w:r>
        <w:rPr>
          <w:bCs/>
          <w:b/>
        </w:rPr>
        <w:t xml:space="preserve">Corpus</w:t>
      </w:r>
      <w:r>
        <w:t xml:space="preserve"> </w:t>
      </w:r>
      <w:r>
        <w:t xml:space="preserve">(IR).</w:t>
      </w:r>
    </w:p>
    <w:p>
      <w:pPr>
        <w:numPr>
          <w:ilvl w:val="1"/>
          <w:numId w:val="1000"/>
        </w:numPr>
        <w:pStyle w:val="BlockText"/>
      </w:pPr>
      <w:r>
        <w:drawing>
          <wp:inline>
            <wp:extent cx="3810000" cy="660400"/>
            <wp:effectExtent b="0" l="0" r="0" t="0"/>
            <wp:docPr descr="" title="" id="63" name="Picture"/>
            <a:graphic>
              <a:graphicData uri="http://schemas.openxmlformats.org/drawingml/2006/picture">
                <pic:pic>
                  <pic:nvPicPr>
                    <pic:cNvPr descr="IMG/tge-adonis-2-300x52.png" id="64" name="Picture"/>
                    <pic:cNvPicPr>
                      <a:picLocks noChangeArrowheads="1" noChangeAspect="1"/>
                    </pic:cNvPicPr>
                  </pic:nvPicPr>
                  <pic:blipFill>
                    <a:blip r:embed="rId62"/>
                    <a:stretch>
                      <a:fillRect/>
                    </a:stretch>
                  </pic:blipFill>
                  <pic:spPr bwMode="auto">
                    <a:xfrm>
                      <a:off x="0" y="0"/>
                      <a:ext cx="3810000" cy="660400"/>
                    </a:xfrm>
                    <a:prstGeom prst="rect">
                      <a:avLst/>
                    </a:prstGeom>
                    <a:noFill/>
                    <a:ln w="9525">
                      <a:noFill/>
                      <a:headEnd/>
                      <a:tailEnd/>
                    </a:ln>
                  </pic:spPr>
                </pic:pic>
              </a:graphicData>
            </a:graphic>
          </wp:inline>
        </w:drawing>
      </w:r>
    </w:p>
    <w:p>
      <w:pPr>
        <w:numPr>
          <w:ilvl w:val="1"/>
          <w:numId w:val="1000"/>
        </w:numPr>
        <w:pStyle w:val="BlockText"/>
      </w:pPr>
      <w:r>
        <w:t xml:space="preserve">En mars 2007,</w:t>
      </w:r>
      <w:r>
        <w:t xml:space="preserve"> </w:t>
      </w:r>
      <w:r>
        <w:rPr>
          <w:bCs/>
          <w:b/>
        </w:rPr>
        <w:t xml:space="preserve">Adonis</w:t>
      </w:r>
      <w:r>
        <w:t xml:space="preserve"> </w:t>
      </w:r>
      <w:r>
        <w:t xml:space="preserve">(</w:t>
      </w:r>
      <w:r>
        <w:rPr>
          <w:iCs/>
          <w:i/>
        </w:rPr>
        <w:t xml:space="preserve">Accès unifié aux données et documents numériques des sciences humaines et sociales</w:t>
      </w:r>
      <w:r>
        <w:t xml:space="preserve">) est créé avec l’objectif de réaliser un accès unifié aux données en SHS. Le projet du TGE Adonis repose sur l’existence de données numériques structurées selon des schémas identifiables et acceptés par les communautés scientifiques productrices de données. L’</w:t>
      </w:r>
      <w:r>
        <w:rPr>
          <w:bCs/>
          <w:b/>
        </w:rPr>
        <w:t xml:space="preserve">interopérabilité</w:t>
      </w:r>
      <w:r>
        <w:t xml:space="preserve"> </w:t>
      </w:r>
      <w:r>
        <w:t xml:space="preserve">des données constitue de ce fait</w:t>
      </w:r>
      <w:r>
        <w:t xml:space="preserve"> </w:t>
      </w:r>
      <w:r>
        <w:rPr>
          <w:bCs/>
          <w:b/>
        </w:rPr>
        <w:t xml:space="preserve">une notion clef dans les dispositifs d’infrastructures SHS</w:t>
      </w:r>
      <w:r>
        <w:t xml:space="preserve">.</w:t>
      </w:r>
    </w:p>
    <w:p>
      <w:pPr>
        <w:numPr>
          <w:ilvl w:val="0"/>
          <w:numId w:val="1001"/>
        </w:numPr>
        <w:pStyle w:val="Compact"/>
      </w:pPr>
      <w:r>
        <w:t xml:space="preserve">ANR</w:t>
      </w:r>
      <w:r>
        <w:t xml:space="preserve"> </w:t>
      </w:r>
      <w:r>
        <w:rPr>
          <w:iCs/>
          <w:i/>
        </w:rPr>
        <w:t xml:space="preserve">Humanités numériques</w:t>
      </w:r>
      <w:r>
        <w:t xml:space="preserve"> </w:t>
      </w:r>
      <w:r>
        <w:t xml:space="preserve">-&gt; 2005</w:t>
      </w:r>
    </w:p>
    <w:p>
      <w:pPr>
        <w:numPr>
          <w:ilvl w:val="0"/>
          <w:numId w:val="1001"/>
        </w:numPr>
        <w:pStyle w:val="Compact"/>
      </w:pPr>
      <w:r>
        <w:t xml:space="preserve">Infrastructure de Recherche (IR)</w:t>
      </w:r>
      <w:r>
        <w:t xml:space="preserve"> </w:t>
      </w:r>
      <w:r>
        <w:rPr>
          <w:bCs/>
          <w:b/>
        </w:rPr>
        <w:t xml:space="preserve">Corpus</w:t>
      </w:r>
      <w:r>
        <w:t xml:space="preserve"> </w:t>
      </w:r>
      <w:r>
        <w:t xml:space="preserve">-&gt; 2006</w:t>
      </w:r>
      <w:r>
        <w:br/>
      </w:r>
    </w:p>
    <w:p>
      <w:pPr>
        <w:numPr>
          <w:ilvl w:val="0"/>
          <w:numId w:val="1001"/>
        </w:numPr>
        <w:pStyle w:val="Compact"/>
      </w:pPr>
      <w:r>
        <w:t xml:space="preserve">Très Grand Equipement (TGE)</w:t>
      </w:r>
      <w:r>
        <w:t xml:space="preserve"> </w:t>
      </w:r>
      <w:r>
        <w:rPr>
          <w:bCs/>
          <w:b/>
        </w:rPr>
        <w:t xml:space="preserve">Adonis</w:t>
      </w:r>
      <w:r>
        <w:t xml:space="preserve"> </w:t>
      </w:r>
      <w:r>
        <w:t xml:space="preserve">-&gt; 2007</w:t>
      </w:r>
    </w:p>
    <w:p>
      <w:pPr>
        <w:numPr>
          <w:ilvl w:val="0"/>
          <w:numId w:val="1001"/>
        </w:numPr>
        <w:pStyle w:val="Compact"/>
      </w:pPr>
      <w:r>
        <w:t xml:space="preserve">Très Grande Infrastructure de Recherche (TGIR)</w:t>
      </w:r>
      <w:r>
        <w:t xml:space="preserve"> </w:t>
      </w:r>
      <w:r>
        <w:rPr>
          <w:bCs/>
          <w:b/>
        </w:rPr>
        <w:t xml:space="preserve">Huma-Num</w:t>
      </w:r>
      <w:r>
        <w:t xml:space="preserve"> </w:t>
      </w:r>
      <w:r>
        <w:t xml:space="preserve">-&gt; 2013</w:t>
      </w:r>
    </w:p>
    <w:p>
      <w:pPr>
        <w:numPr>
          <w:ilvl w:val="0"/>
          <w:numId w:val="1001"/>
        </w:numPr>
        <w:pStyle w:val="Compact"/>
      </w:pPr>
      <w:r>
        <w:t xml:space="preserve">Infrastructure de recherche étoile (IR*)</w:t>
      </w:r>
    </w:p>
    <w:bookmarkEnd w:id="65"/>
    <w:bookmarkStart w:id="100" w:name="les-consortiums-actifs"/>
    <w:p>
      <w:pPr>
        <w:pStyle w:val="Heading1"/>
      </w:pPr>
      <w:r>
        <w:t xml:space="preserve">Les consortiums actifs</w:t>
      </w:r>
    </w:p>
    <w:tbl>
      <w:tblPr>
        <w:tblStyle w:val="Table"/>
        <w:tblW w:type="pct" w:w="4995"/>
        <w:tblLook w:firstRow="0" w:lastRow="0" w:firstColumn="0" w:lastColumn="0" w:noHBand="0" w:noVBand="0" w:val="0000"/>
        <w:jc w:val="start"/>
        <w:tblLayout w:type="fixed"/>
      </w:tblPr>
      <w:tblGrid>
        <w:gridCol w:w="2637"/>
        <w:gridCol w:w="2637"/>
        <w:gridCol w:w="2637"/>
      </w:tblGrid>
      <w:tr>
        <w:tc>
          <w:tcPr/>
          <w:p>
            <w:pPr>
              <w:jc w:val="center"/>
            </w:pPr>
            <w:hyperlink w:anchor="pictoria">
              <w:r>
                <w:drawing>
                  <wp:inline>
                    <wp:extent cx="1975104" cy="687336"/>
                    <wp:effectExtent b="0" l="0" r="0" t="0"/>
                    <wp:docPr descr="" title="" id="66" name="Picture"/>
                    <a:graphic>
                      <a:graphicData uri="http://schemas.openxmlformats.org/drawingml/2006/picture">
                        <pic:pic>
                          <pic:nvPicPr>
                            <pic:cNvPr descr="IMG/Pictoria-200x70.jpg" id="67" name="Picture"/>
                            <pic:cNvPicPr>
                              <a:picLocks noChangeArrowheads="1" noChangeAspect="1"/>
                            </pic:cNvPicPr>
                          </pic:nvPicPr>
                          <pic:blipFill>
                            <a:blip r:embed="rId29"/>
                            <a:stretch>
                              <a:fillRect/>
                            </a:stretch>
                          </pic:blipFill>
                          <pic:spPr bwMode="auto">
                            <a:xfrm>
                              <a:off x="0" y="0"/>
                              <a:ext cx="1975104" cy="687336"/>
                            </a:xfrm>
                            <a:prstGeom prst="rect">
                              <a:avLst/>
                            </a:prstGeom>
                            <a:noFill/>
                            <a:ln w="9525">
                              <a:noFill/>
                              <a:headEnd/>
                              <a:tailEnd/>
                            </a:ln>
                          </pic:spPr>
                        </pic:pic>
                      </a:graphicData>
                    </a:graphic>
                  </wp:inline>
                </w:drawing>
              </w:r>
            </w:hyperlink>
          </w:p>
        </w:tc>
        <w:tc>
          <w:tcPr/>
          <w:p>
            <w:pPr>
              <w:jc w:val="center"/>
            </w:pPr>
            <w:hyperlink w:anchor="ariane">
              <w:r>
                <w:drawing>
                  <wp:inline>
                    <wp:extent cx="1975104" cy="849294"/>
                    <wp:effectExtent b="0" l="0" r="0" t="0"/>
                    <wp:docPr descr="" title="" id="68" name="Picture"/>
                    <a:graphic>
                      <a:graphicData uri="http://schemas.openxmlformats.org/drawingml/2006/picture">
                        <pic:pic>
                          <pic:nvPicPr>
                            <pic:cNvPr descr="IMG/Logo_ARIANE-200x86.jpg" id="69" name="Picture"/>
                            <pic:cNvPicPr>
                              <a:picLocks noChangeArrowheads="1" noChangeAspect="1"/>
                            </pic:cNvPicPr>
                          </pic:nvPicPr>
                          <pic:blipFill>
                            <a:blip r:embed="rId32"/>
                            <a:stretch>
                              <a:fillRect/>
                            </a:stretch>
                          </pic:blipFill>
                          <pic:spPr bwMode="auto">
                            <a:xfrm>
                              <a:off x="0" y="0"/>
                              <a:ext cx="1975104" cy="849294"/>
                            </a:xfrm>
                            <a:prstGeom prst="rect">
                              <a:avLst/>
                            </a:prstGeom>
                            <a:noFill/>
                            <a:ln w="9525">
                              <a:noFill/>
                              <a:headEnd/>
                              <a:tailEnd/>
                            </a:ln>
                          </pic:spPr>
                        </pic:pic>
                      </a:graphicData>
                    </a:graphic>
                  </wp:inline>
                </w:drawing>
              </w:r>
            </w:hyperlink>
          </w:p>
        </w:tc>
        <w:tc>
          <w:tcPr/>
          <w:p>
            <w:pPr>
              <w:jc w:val="center"/>
            </w:pPr>
            <w:hyperlink w:anchor="d-hn">
              <w:r>
                <w:drawing>
                  <wp:inline>
                    <wp:extent cx="1975104" cy="513527"/>
                    <wp:effectExtent b="0" l="0" r="0" t="0"/>
                    <wp:docPr descr="" title="" id="70" name="Picture"/>
                    <a:graphic>
                      <a:graphicData uri="http://schemas.openxmlformats.org/drawingml/2006/picture">
                        <pic:pic>
                          <pic:nvPicPr>
                            <pic:cNvPr descr="IMG/logo-3DHN-200x52.png" id="71" name="Picture"/>
                            <pic:cNvPicPr>
                              <a:picLocks noChangeArrowheads="1" noChangeAspect="1"/>
                            </pic:cNvPicPr>
                          </pic:nvPicPr>
                          <pic:blipFill>
                            <a:blip r:embed="rId35"/>
                            <a:stretch>
                              <a:fillRect/>
                            </a:stretch>
                          </pic:blipFill>
                          <pic:spPr bwMode="auto">
                            <a:xfrm>
                              <a:off x="0" y="0"/>
                              <a:ext cx="1975104" cy="513527"/>
                            </a:xfrm>
                            <a:prstGeom prst="rect">
                              <a:avLst/>
                            </a:prstGeom>
                            <a:noFill/>
                            <a:ln w="9525">
                              <a:noFill/>
                              <a:headEnd/>
                              <a:tailEnd/>
                            </a:ln>
                          </pic:spPr>
                        </pic:pic>
                      </a:graphicData>
                    </a:graphic>
                  </wp:inline>
                </w:drawing>
              </w:r>
            </w:hyperlink>
          </w:p>
        </w:tc>
      </w:tr>
    </w:tbl>
    <w:p>
      <w:pPr>
        <w:framePr w:w="0" w:h="0" w:vAnchor="margin" w:hAnchor="margin" w:xAlign="right" w:yAlign="top"/>
      </w:pPr>
    </w:p>
    <w:tbl>
      <w:tblPr>
        <w:tblStyle w:val="Table"/>
        <w:tblW w:type="pct" w:w="4995"/>
        <w:tblLook w:firstRow="0" w:lastRow="0" w:firstColumn="0" w:lastColumn="0" w:noHBand="0" w:noVBand="0" w:val="0000"/>
        <w:jc w:val="start"/>
        <w:tblLayout w:type="fixed"/>
      </w:tblPr>
      <w:tblGrid>
        <w:gridCol w:w="2637"/>
        <w:gridCol w:w="2637"/>
        <w:gridCol w:w="2637"/>
      </w:tblGrid>
      <w:tr>
        <w:tc>
          <w:tcPr/>
          <w:p>
            <w:pPr>
              <w:jc w:val="center"/>
            </w:pPr>
            <w:hyperlink w:anchor="projets-time-machine">
              <w:r>
                <w:drawing>
                  <wp:inline>
                    <wp:extent cx="1975104" cy="790041"/>
                    <wp:effectExtent b="0" l="0" r="0" t="0"/>
                    <wp:docPr descr="" title="" id="72" name="Picture"/>
                    <a:graphic>
                      <a:graphicData uri="http://schemas.openxmlformats.org/drawingml/2006/picture">
                        <pic:pic>
                          <pic:nvPicPr>
                            <pic:cNvPr descr="IMG/logo-PTM-png-200x80.png" id="73" name="Picture"/>
                            <pic:cNvPicPr>
                              <a:picLocks noChangeArrowheads="1" noChangeAspect="1"/>
                            </pic:cNvPicPr>
                          </pic:nvPicPr>
                          <pic:blipFill>
                            <a:blip r:embed="rId38"/>
                            <a:stretch>
                              <a:fillRect/>
                            </a:stretch>
                          </pic:blipFill>
                          <pic:spPr bwMode="auto">
                            <a:xfrm>
                              <a:off x="0" y="0"/>
                              <a:ext cx="1975104" cy="790041"/>
                            </a:xfrm>
                            <a:prstGeom prst="rect">
                              <a:avLst/>
                            </a:prstGeom>
                            <a:noFill/>
                            <a:ln w="9525">
                              <a:noFill/>
                              <a:headEnd/>
                              <a:tailEnd/>
                            </a:ln>
                          </pic:spPr>
                        </pic:pic>
                      </a:graphicData>
                    </a:graphic>
                  </wp:inline>
                </w:drawing>
              </w:r>
            </w:hyperlink>
          </w:p>
        </w:tc>
        <w:tc>
          <w:tcPr/>
          <w:p>
            <w:pPr>
              <w:jc w:val="center"/>
            </w:pPr>
            <w:hyperlink w:anchor="masa-plus">
              <w:r>
                <w:drawing>
                  <wp:inline>
                    <wp:extent cx="1975104" cy="799917"/>
                    <wp:effectExtent b="0" l="0" r="0" t="0"/>
                    <wp:docPr descr="" title="" id="74" name="Picture"/>
                    <a:graphic>
                      <a:graphicData uri="http://schemas.openxmlformats.org/drawingml/2006/picture">
                        <pic:pic>
                          <pic:nvPicPr>
                            <pic:cNvPr descr="IMG/logo_MASAplus-200x81.png" id="75" name="Picture"/>
                            <pic:cNvPicPr>
                              <a:picLocks noChangeArrowheads="1" noChangeAspect="1"/>
                            </pic:cNvPicPr>
                          </pic:nvPicPr>
                          <pic:blipFill>
                            <a:blip r:embed="rId41"/>
                            <a:stretch>
                              <a:fillRect/>
                            </a:stretch>
                          </pic:blipFill>
                          <pic:spPr bwMode="auto">
                            <a:xfrm>
                              <a:off x="0" y="0"/>
                              <a:ext cx="1975104" cy="799917"/>
                            </a:xfrm>
                            <a:prstGeom prst="rect">
                              <a:avLst/>
                            </a:prstGeom>
                            <a:noFill/>
                            <a:ln w="9525">
                              <a:noFill/>
                              <a:headEnd/>
                              <a:tailEnd/>
                            </a:ln>
                          </pic:spPr>
                        </pic:pic>
                      </a:graphicData>
                    </a:graphic>
                  </wp:inline>
                </w:drawing>
              </w:r>
            </w:hyperlink>
          </w:p>
        </w:tc>
        <w:tc>
          <w:tcPr/>
          <w:p>
            <w:pPr>
              <w:jc w:val="center"/>
            </w:pPr>
            <w:hyperlink w:anchor="distam">
              <w:r>
                <w:drawing>
                  <wp:inline>
                    <wp:extent cx="1975104" cy="1143000"/>
                    <wp:effectExtent b="0" l="0" r="0" t="0"/>
                    <wp:docPr descr="" title="" id="76" name="Picture"/>
                    <a:graphic>
                      <a:graphicData uri="http://schemas.openxmlformats.org/drawingml/2006/picture">
                        <pic:pic>
                          <pic:nvPicPr>
                            <pic:cNvPr descr="IMG/LOGO-DISTAM-sans-texte-200x158.png" id="77" name="Picture"/>
                            <pic:cNvPicPr>
                              <a:picLocks noChangeArrowheads="1" noChangeAspect="1"/>
                            </pic:cNvPicPr>
                          </pic:nvPicPr>
                          <pic:blipFill>
                            <a:blip r:embed="rId44"/>
                            <a:stretch>
                              <a:fillRect/>
                            </a:stretch>
                          </pic:blipFill>
                          <pic:spPr bwMode="auto">
                            <a:xfrm>
                              <a:off x="0" y="0"/>
                              <a:ext cx="1975104" cy="1143000"/>
                            </a:xfrm>
                            <a:prstGeom prst="rect">
                              <a:avLst/>
                            </a:prstGeom>
                            <a:noFill/>
                            <a:ln w="9525">
                              <a:noFill/>
                              <a:headEnd/>
                              <a:tailEnd/>
                            </a:ln>
                          </pic:spPr>
                        </pic:pic>
                      </a:graphicData>
                    </a:graphic>
                  </wp:inline>
                </w:drawing>
              </w:r>
            </w:hyperlink>
          </w:p>
        </w:tc>
      </w:tr>
    </w:tbl>
    <w:p>
      <w:pPr>
        <w:framePr w:w="0" w:h="0" w:vAnchor="margin" w:hAnchor="margin" w:xAlign="right" w:yAlign="top"/>
      </w:pPr>
    </w:p>
    <w:tbl>
      <w:tblPr>
        <w:tblStyle w:val="Table"/>
        <w:tblW w:type="pct" w:w="4995"/>
        <w:tblLook w:firstRow="0" w:lastRow="0" w:firstColumn="0" w:lastColumn="0" w:noHBand="0" w:noVBand="0" w:val="0000"/>
        <w:jc w:val="start"/>
        <w:tblLayout w:type="fixed"/>
      </w:tblPr>
      <w:tblGrid>
        <w:gridCol w:w="2637"/>
        <w:gridCol w:w="2637"/>
        <w:gridCol w:w="2637"/>
      </w:tblGrid>
      <w:tr>
        <w:tc>
          <w:tcPr/>
          <w:p>
            <w:pPr>
              <w:jc w:val="center"/>
            </w:pPr>
            <w:hyperlink w:anchor="canevas">
              <w:r>
                <w:drawing>
                  <wp:inline>
                    <wp:extent cx="1975104" cy="1254191"/>
                    <wp:effectExtent b="0" l="0" r="0" t="0"/>
                    <wp:docPr descr="" title="" id="78" name="Picture"/>
                    <a:graphic>
                      <a:graphicData uri="http://schemas.openxmlformats.org/drawingml/2006/picture">
                        <pic:pic>
                          <pic:nvPicPr>
                            <pic:cNvPr descr="IMG/logo-canevas_png-200x127.png" id="79" name="Picture"/>
                            <pic:cNvPicPr>
                              <a:picLocks noChangeArrowheads="1" noChangeAspect="1"/>
                            </pic:cNvPicPr>
                          </pic:nvPicPr>
                          <pic:blipFill>
                            <a:blip r:embed="rId47"/>
                            <a:stretch>
                              <a:fillRect/>
                            </a:stretch>
                          </pic:blipFill>
                          <pic:spPr bwMode="auto">
                            <a:xfrm>
                              <a:off x="0" y="0"/>
                              <a:ext cx="1975104" cy="1254191"/>
                            </a:xfrm>
                            <a:prstGeom prst="rect">
                              <a:avLst/>
                            </a:prstGeom>
                            <a:noFill/>
                            <a:ln w="9525">
                              <a:noFill/>
                              <a:headEnd/>
                              <a:tailEnd/>
                            </a:ln>
                          </pic:spPr>
                        </pic:pic>
                      </a:graphicData>
                    </a:graphic>
                  </wp:inline>
                </w:drawing>
              </w:r>
            </w:hyperlink>
          </w:p>
        </w:tc>
        <w:tc>
          <w:tcPr/>
          <w:p>
            <w:pPr>
              <w:jc w:val="center"/>
            </w:pPr>
            <w:hyperlink w:anchor="musica-2">
              <w:r>
                <w:drawing>
                  <wp:inline>
                    <wp:extent cx="1975104" cy="1175186"/>
                    <wp:effectExtent b="0" l="0" r="0" t="0"/>
                    <wp:docPr descr="" title="" id="80" name="Picture"/>
                    <a:graphic>
                      <a:graphicData uri="http://schemas.openxmlformats.org/drawingml/2006/picture">
                        <pic:pic>
                          <pic:nvPicPr>
                            <pic:cNvPr descr="IMG/Musica-2-1-200x119.png" id="81" name="Picture"/>
                            <pic:cNvPicPr>
                              <a:picLocks noChangeArrowheads="1" noChangeAspect="1"/>
                            </pic:cNvPicPr>
                          </pic:nvPicPr>
                          <pic:blipFill>
                            <a:blip r:embed="rId50"/>
                            <a:stretch>
                              <a:fillRect/>
                            </a:stretch>
                          </pic:blipFill>
                          <pic:spPr bwMode="auto">
                            <a:xfrm>
                              <a:off x="0" y="0"/>
                              <a:ext cx="1975104" cy="1175186"/>
                            </a:xfrm>
                            <a:prstGeom prst="rect">
                              <a:avLst/>
                            </a:prstGeom>
                            <a:noFill/>
                            <a:ln w="9525">
                              <a:noFill/>
                              <a:headEnd/>
                              <a:tailEnd/>
                            </a:ln>
                          </pic:spPr>
                        </pic:pic>
                      </a:graphicData>
                    </a:graphic>
                  </wp:inline>
                </w:drawing>
              </w:r>
            </w:hyperlink>
          </w:p>
        </w:tc>
        <w:tc>
          <w:tcPr/>
          <w:p>
            <w:pPr>
              <w:jc w:val="center"/>
            </w:pPr>
            <w:hyperlink w:anchor="corli">
              <w:r>
                <w:drawing>
                  <wp:inline>
                    <wp:extent cx="1975104" cy="839419"/>
                    <wp:effectExtent b="0" l="0" r="0" t="0"/>
                    <wp:docPr descr="" title="" id="82" name="Picture"/>
                    <a:graphic>
                      <a:graphicData uri="http://schemas.openxmlformats.org/drawingml/2006/picture">
                        <pic:pic>
                          <pic:nvPicPr>
                            <pic:cNvPr descr="IMG/logo-CORLI-png.png" id="83" name="Picture"/>
                            <pic:cNvPicPr>
                              <a:picLocks noChangeArrowheads="1" noChangeAspect="1"/>
                            </pic:cNvPicPr>
                          </pic:nvPicPr>
                          <pic:blipFill>
                            <a:blip r:embed="rId53"/>
                            <a:stretch>
                              <a:fillRect/>
                            </a:stretch>
                          </pic:blipFill>
                          <pic:spPr bwMode="auto">
                            <a:xfrm>
                              <a:off x="0" y="0"/>
                              <a:ext cx="1975104" cy="839419"/>
                            </a:xfrm>
                            <a:prstGeom prst="rect">
                              <a:avLst/>
                            </a:prstGeom>
                            <a:noFill/>
                            <a:ln w="9525">
                              <a:noFill/>
                              <a:headEnd/>
                              <a:tailEnd/>
                            </a:ln>
                          </pic:spPr>
                        </pic:pic>
                      </a:graphicData>
                    </a:graphic>
                  </wp:inline>
                </w:drawing>
              </w:r>
            </w:hyperlink>
          </w:p>
        </w:tc>
      </w:tr>
    </w:tbl>
    <w:p>
      <w:pPr>
        <w:framePr w:w="0" w:h="0" w:vAnchor="margin" w:hAnchor="margin" w:xAlign="right" w:yAlign="top"/>
      </w:pPr>
    </w:p>
    <w:tbl>
      <w:tblPr>
        <w:tblStyle w:val="Table"/>
        <w:tblW w:type="pct" w:w="1665"/>
        <w:tblLook w:firstRow="0" w:lastRow="0" w:firstColumn="0" w:lastColumn="0" w:noHBand="0" w:noVBand="0" w:val="0000"/>
        <w:jc w:val="start"/>
        <w:tblLayout w:type="fixed"/>
      </w:tblPr>
      <w:tblGrid>
        <w:gridCol w:w="2637"/>
      </w:tblGrid>
      <w:tr>
        <w:tc>
          <w:tcPr/>
          <w:p>
            <w:pPr>
              <w:jc w:val="center"/>
            </w:pPr>
            <w:hyperlink w:anchor="sol">
              <w:r>
                <w:drawing>
                  <wp:inline>
                    <wp:extent cx="1975104" cy="1524000"/>
                    <wp:effectExtent b="0" l="0" r="0" t="0"/>
                    <wp:docPr descr="" title="" id="84" name="Picture"/>
                    <a:graphic>
                      <a:graphicData uri="http://schemas.openxmlformats.org/drawingml/2006/picture">
                        <pic:pic>
                          <pic:nvPicPr>
                            <pic:cNvPr descr="IMG/logo-sol-picto-194x200.png" id="85" name="Picture"/>
                            <pic:cNvPicPr>
                              <a:picLocks noChangeArrowheads="1" noChangeAspect="1"/>
                            </pic:cNvPicPr>
                          </pic:nvPicPr>
                          <pic:blipFill>
                            <a:blip r:embed="rId56"/>
                            <a:stretch>
                              <a:fillRect/>
                            </a:stretch>
                          </pic:blipFill>
                          <pic:spPr bwMode="auto">
                            <a:xfrm>
                              <a:off x="0" y="0"/>
                              <a:ext cx="1975104" cy="1524000"/>
                            </a:xfrm>
                            <a:prstGeom prst="rect">
                              <a:avLst/>
                            </a:prstGeom>
                            <a:noFill/>
                            <a:ln w="9525">
                              <a:noFill/>
                              <a:headEnd/>
                              <a:tailEnd/>
                            </a:ln>
                          </pic:spPr>
                        </pic:pic>
                      </a:graphicData>
                    </a:graphic>
                  </wp:inline>
                </w:drawing>
              </w:r>
            </w:hyperlink>
          </w:p>
        </w:tc>
      </w:tr>
    </w:tbl>
    <w:p>
      <w:pPr>
        <w:pStyle w:val="BodyText"/>
      </w:pPr>
      <w:r>
        <w:t xml:space="preserve">⁛‥⁛⁝⁛⁝⁛⁝⁛‥⁛</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87" name="Picture"/>
                  <a:graphic>
                    <a:graphicData uri="http://schemas.openxmlformats.org/drawingml/2006/picture">
                      <pic:pic>
                        <pic:nvPicPr>
                          <pic:cNvPr descr="C:\Users\jrabaud001\AppData\Local\Programs\Quarto\share\formats\docx\tip.png" id="88" name="Picture"/>
                          <pic:cNvPicPr>
                            <a:picLocks noChangeArrowheads="1" noChangeAspect="1"/>
                          </pic:cNvPicPr>
                        </pic:nvPicPr>
                        <pic:blipFill>
                          <a:blip r:embed="rId86"/>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Liste de diffusion</w:t>
            </w:r>
            <w:r>
              <w:rPr>
                <w:bCs/>
                <w:b/>
              </w:rPr>
              <w:t xml:space="preserve"> </w:t>
            </w:r>
            <w:r>
              <w:rPr>
                <w:bCs/>
                <w:b/>
                <w:bCs/>
                <w:b/>
              </w:rPr>
              <w:t xml:space="preserve">DH francophone</w:t>
            </w:r>
          </w:p>
          <w:p>
            <w:pPr>
              <w:pStyle w:val="BodyText"/>
            </w:pPr>
            <w:pPr>
              <w:spacing w:before="16"/>
            </w:pPr>
            <w:r>
              <w:t xml:space="preserve">Tous les consortiums communiquent sur</w:t>
            </w:r>
          </w:p>
          <w:p>
            <w:pPr>
              <w:numPr>
                <w:ilvl w:val="0"/>
                <w:numId w:val="1003"/>
              </w:numPr>
              <w:pStyle w:val="Compact"/>
            </w:pPr>
            <w:r>
              <w:rPr>
                <w:iCs/>
                <w:i/>
              </w:rPr>
              <w:t xml:space="preserve">dh - Liste francophone de discussion autour des Digital Humanities</w:t>
            </w:r>
            <w:r>
              <w:t xml:space="preserve"> </w:t>
            </w:r>
            <w:hyperlink r:id="rId89">
              <w:r>
                <w:rPr>
                  <w:rStyle w:val="Hyperlink"/>
                </w:rPr>
                <w:t xml:space="preserve">https://groupes.renater.fr/sympa/info/dh</w:t>
              </w:r>
            </w:hyperlink>
          </w:p>
        </w:tc>
      </w:tr>
    </w:tbl>
    <w:bookmarkStart w:id="90" w:name="pictoria"/>
    <w:p>
      <w:pPr>
        <w:pStyle w:val="Heading2"/>
      </w:pPr>
      <w:r>
        <w:t xml:space="preserve">Pictoria</w:t>
      </w:r>
    </w:p>
    <w:p>
      <w:pPr>
        <w:numPr>
          <w:ilvl w:val="0"/>
          <w:numId w:val="1004"/>
        </w:numPr>
        <w:pStyle w:val="Compact"/>
      </w:pPr>
      <w:r>
        <w:t xml:space="preserve">Liste de diffusion</w:t>
      </w:r>
    </w:p>
    <w:bookmarkEnd w:id="90"/>
    <w:bookmarkStart w:id="91" w:name="ariane"/>
    <w:p>
      <w:pPr>
        <w:pStyle w:val="Heading2"/>
      </w:pPr>
      <w:r>
        <w:t xml:space="preserve">Ariane</w:t>
      </w:r>
    </w:p>
    <w:p>
      <w:pPr>
        <w:numPr>
          <w:ilvl w:val="0"/>
          <w:numId w:val="1005"/>
        </w:numPr>
        <w:pStyle w:val="Compact"/>
      </w:pPr>
      <w:r>
        <w:t xml:space="preserve">Collection HAL du Consortium-HN ARIANE</w:t>
      </w:r>
      <w:r>
        <w:t xml:space="preserve"> </w:t>
      </w:r>
      <w:r>
        <w:t xml:space="preserve">(ARIANE, 2024)</w:t>
      </w:r>
    </w:p>
    <w:bookmarkEnd w:id="91"/>
    <w:bookmarkStart w:id="92" w:name="d-hn"/>
    <w:p>
      <w:pPr>
        <w:pStyle w:val="Heading2"/>
      </w:pPr>
      <w:r>
        <w:t xml:space="preserve">3D HN</w:t>
      </w:r>
    </w:p>
    <w:p>
      <w:pPr>
        <w:numPr>
          <w:ilvl w:val="0"/>
          <w:numId w:val="1006"/>
        </w:numPr>
        <w:pStyle w:val="Compact"/>
      </w:pPr>
      <w:r>
        <w:t xml:space="preserve">ex</w:t>
      </w:r>
      <w:r>
        <w:t xml:space="preserve"> </w:t>
      </w:r>
      <w:r>
        <w:rPr>
          <w:iCs/>
          <w:i/>
        </w:rPr>
        <w:t xml:space="preserve">3D SHS</w:t>
      </w:r>
      <w:r>
        <w:t xml:space="preserve">.</w:t>
      </w:r>
    </w:p>
    <w:bookmarkEnd w:id="92"/>
    <w:bookmarkStart w:id="93" w:name="projets-time-machine"/>
    <w:p>
      <w:pPr>
        <w:pStyle w:val="Heading2"/>
      </w:pPr>
      <w:r>
        <w:t xml:space="preserve">Projets Time Machine</w:t>
      </w:r>
    </w:p>
    <w:p>
      <w:pPr>
        <w:numPr>
          <w:ilvl w:val="0"/>
          <w:numId w:val="1007"/>
        </w:numPr>
        <w:pStyle w:val="Compact"/>
      </w:pPr>
      <w:r>
        <w:t xml:space="preserve">ex</w:t>
      </w:r>
      <w:r>
        <w:t xml:space="preserve"> </w:t>
      </w:r>
      <w:r>
        <w:rPr>
          <w:iCs/>
          <w:i/>
        </w:rPr>
        <w:t xml:space="preserve">Paris Time Machine</w:t>
      </w:r>
      <w:r>
        <w:t xml:space="preserve">.</w:t>
      </w:r>
    </w:p>
    <w:bookmarkEnd w:id="93"/>
    <w:bookmarkStart w:id="94" w:name="masa-plus"/>
    <w:p>
      <w:pPr>
        <w:pStyle w:val="Heading2"/>
      </w:pPr>
      <w:r>
        <w:t xml:space="preserve">MASA Plus</w:t>
      </w:r>
    </w:p>
    <w:p>
      <w:pPr>
        <w:numPr>
          <w:ilvl w:val="0"/>
          <w:numId w:val="1008"/>
        </w:numPr>
        <w:pStyle w:val="Compact"/>
      </w:pPr>
      <w:r>
        <w:t xml:space="preserve">carnet Hypothèses.org du Consortium</w:t>
      </w:r>
    </w:p>
    <w:p>
      <w:pPr>
        <w:numPr>
          <w:ilvl w:val="0"/>
          <w:numId w:val="1008"/>
        </w:numPr>
        <w:pStyle w:val="Compact"/>
      </w:pPr>
      <w:r>
        <w:t xml:space="preserve">liste de diffusion</w:t>
      </w:r>
    </w:p>
    <w:bookmarkEnd w:id="94"/>
    <w:bookmarkStart w:id="95" w:name="distam"/>
    <w:p>
      <w:pPr>
        <w:pStyle w:val="Heading2"/>
      </w:pPr>
      <w:r>
        <w:t xml:space="preserve">DISTAM</w:t>
      </w:r>
    </w:p>
    <w:p>
      <w:pPr>
        <w:numPr>
          <w:ilvl w:val="0"/>
          <w:numId w:val="1009"/>
        </w:numPr>
        <w:pStyle w:val="Compact"/>
      </w:pPr>
      <w:r>
        <w:t xml:space="preserve">carnet Hypothèses.org du Consortium</w:t>
      </w:r>
      <w:r>
        <w:t xml:space="preserve"> </w:t>
      </w:r>
      <w:r>
        <w:t xml:space="preserve">(DISTAM, 2024)</w:t>
      </w:r>
    </w:p>
    <w:bookmarkEnd w:id="95"/>
    <w:bookmarkStart w:id="96" w:name="canevas"/>
    <w:p>
      <w:pPr>
        <w:pStyle w:val="Heading2"/>
      </w:pPr>
      <w:r>
        <w:t xml:space="preserve">Canevas</w:t>
      </w:r>
    </w:p>
    <w:p>
      <w:pPr>
        <w:numPr>
          <w:ilvl w:val="0"/>
          <w:numId w:val="1010"/>
        </w:numPr>
        <w:pStyle w:val="Compact"/>
      </w:pPr>
      <w:r>
        <w:t xml:space="preserve">Liste de diffusion</w:t>
      </w:r>
    </w:p>
    <w:bookmarkEnd w:id="96"/>
    <w:bookmarkStart w:id="97" w:name="musica-2"/>
    <w:p>
      <w:pPr>
        <w:pStyle w:val="Heading2"/>
      </w:pPr>
      <w:r>
        <w:t xml:space="preserve">MUSICA 2</w:t>
      </w:r>
    </w:p>
    <w:bookmarkEnd w:id="97"/>
    <w:bookmarkStart w:id="98" w:name="corli"/>
    <w:p>
      <w:pPr>
        <w:pStyle w:val="Heading2"/>
      </w:pPr>
      <w:r>
        <w:t xml:space="preserve">CORLI</w:t>
      </w:r>
    </w:p>
    <w:bookmarkEnd w:id="98"/>
    <w:bookmarkStart w:id="99" w:name="sol"/>
    <w:p>
      <w:pPr>
        <w:pStyle w:val="Heading2"/>
      </w:pPr>
      <w:r>
        <w:t xml:space="preserve">SOL</w:t>
      </w:r>
    </w:p>
    <w:bookmarkEnd w:id="99"/>
    <w:bookmarkEnd w:id="100"/>
    <w:bookmarkStart w:id="121" w:name="les-consortiums-cloturés"/>
    <w:p>
      <w:pPr>
        <w:pStyle w:val="Heading1"/>
      </w:pPr>
      <w:r>
        <w:t xml:space="preserve">Les consortiums cloturés</w:t>
      </w:r>
    </w:p>
    <w:p>
      <w:pPr>
        <w:pStyle w:val="FirstParagraph"/>
      </w:pPr>
      <w:r>
        <w:t xml:space="preserve">Les anciens consortiums de l’IR* Huma-Num</w:t>
      </w:r>
    </w:p>
    <w:tbl>
      <w:tblPr>
        <w:tblStyle w:val="Table"/>
        <w:tblW w:type="pct" w:w="4995"/>
        <w:tblLook w:firstRow="0" w:lastRow="0" w:firstColumn="0" w:lastColumn="0" w:noHBand="0" w:noVBand="0" w:val="0000"/>
        <w:jc w:val="start"/>
        <w:tblLayout w:type="fixed"/>
      </w:tblPr>
      <w:tblGrid>
        <w:gridCol w:w="2637"/>
        <w:gridCol w:w="2637"/>
        <w:gridCol w:w="2637"/>
      </w:tblGrid>
      <w:tr>
        <w:tc>
          <w:tcPr/>
          <w:p>
            <w:pPr>
              <w:jc w:val="left"/>
            </w:pPr>
            <w:hyperlink w:anchor="imageo">
              <w:r>
                <w:rPr>
                  <w:rStyle w:val="Hyperlink"/>
                </w:rPr>
                <w:t xml:space="preserve">![Consortium ImaGEO](IMG/LOGO_ImaGEO-200x38.png</w:t>
              </w:r>
            </w:hyperlink>
          </w:p>
        </w:tc>
        <w:tc>
          <w:tcPr/>
          <w:p>
            <w:pPr>
              <w:jc w:val="left"/>
            </w:pPr>
            <w:hyperlink w:anchor="cosme-2">
              <w:r>
                <w:drawing>
                  <wp:inline>
                    <wp:extent cx="1905000" cy="1628775"/>
                    <wp:effectExtent b="0" l="0" r="0" t="0"/>
                    <wp:docPr descr="Consortium COSME2" title="" id="102" name="Picture"/>
                    <a:graphic>
                      <a:graphicData uri="http://schemas.openxmlformats.org/drawingml/2006/picture">
                        <pic:pic>
                          <pic:nvPicPr>
                            <pic:cNvPr descr="IMG/Logo-COSME-200x171.png" id="103" name="Picture"/>
                            <pic:cNvPicPr>
                              <a:picLocks noChangeArrowheads="1" noChangeAspect="1"/>
                            </pic:cNvPicPr>
                          </pic:nvPicPr>
                          <pic:blipFill>
                            <a:blip r:embed="rId101"/>
                            <a:stretch>
                              <a:fillRect/>
                            </a:stretch>
                          </pic:blipFill>
                          <pic:spPr bwMode="auto">
                            <a:xfrm>
                              <a:off x="0" y="0"/>
                              <a:ext cx="1905000" cy="1628775"/>
                            </a:xfrm>
                            <a:prstGeom prst="rect">
                              <a:avLst/>
                            </a:prstGeom>
                            <a:noFill/>
                            <a:ln w="9525">
                              <a:noFill/>
                              <a:headEnd/>
                              <a:tailEnd/>
                            </a:ln>
                          </pic:spPr>
                        </pic:pic>
                      </a:graphicData>
                    </a:graphic>
                  </wp:inline>
                </w:drawing>
              </w:r>
              <w:r>
                <w:rPr>
                  <w:rStyle w:val="Hyperlink"/>
                </w:rPr>
                <w:t xml:space="preserve">{height=</w:t>
              </w:r>
              <w:r>
                <w:rPr>
                  <w:rStyle w:val="Hyperlink"/>
                </w:rPr>
                <w:t xml:space="preserve">“</w:t>
              </w:r>
              <w:r>
                <w:rPr>
                  <w:rStyle w:val="Hyperlink"/>
                </w:rPr>
                <w:t xml:space="preserve">80px</w:t>
              </w:r>
              <w:r>
                <w:rPr>
                  <w:rStyle w:val="Hyperlink"/>
                </w:rPr>
                <w:t xml:space="preserve">”</w:t>
              </w:r>
            </w:hyperlink>
          </w:p>
        </w:tc>
        <w:tc>
          <w:tcPr/>
          <w:p>
            <w:pPr>
              <w:jc w:val="left"/>
            </w:pPr>
            <w:hyperlink w:anchor="masa">
              <w:r>
                <w:rPr>
                  <w:rStyle w:val="Hyperlink"/>
                </w:rPr>
                <w:t xml:space="preserve">![Consortium MASA](IMG/logo-MASA-200x93.png</w:t>
              </w:r>
            </w:hyperlink>
          </w:p>
        </w:tc>
      </w:tr>
    </w:tbl>
    <w:p>
      <w:pPr>
        <w:framePr w:w="0" w:h="0" w:vAnchor="margin" w:hAnchor="margin" w:xAlign="right" w:yAlign="top"/>
      </w:pPr>
    </w:p>
    <w:tbl>
      <w:tblPr>
        <w:tblStyle w:val="Table"/>
        <w:tblW w:type="pct" w:w="4995"/>
        <w:tblLook w:firstRow="0" w:lastRow="0" w:firstColumn="0" w:lastColumn="0" w:noHBand="0" w:noVBand="0" w:val="0000"/>
        <w:jc w:val="start"/>
        <w:tblLayout w:type="fixed"/>
      </w:tblPr>
      <w:tblGrid>
        <w:gridCol w:w="2637"/>
        <w:gridCol w:w="2637"/>
        <w:gridCol w:w="2637"/>
      </w:tblGrid>
      <w:tr>
        <w:tc>
          <w:tcPr/>
          <w:p>
            <w:pPr>
              <w:jc w:val="left"/>
            </w:pPr>
            <w:hyperlink w:anchor="corli-1">
              <w:r>
                <w:rPr>
                  <w:rStyle w:val="Hyperlink"/>
                </w:rPr>
                <w:t xml:space="preserve">![Consortium CORLI 1](IMG/logo-CORLI-png.png</w:t>
              </w:r>
            </w:hyperlink>
          </w:p>
        </w:tc>
        <w:tc>
          <w:tcPr/>
          <w:p>
            <w:pPr>
              <w:jc w:val="left"/>
            </w:pPr>
            <w:hyperlink w:anchor="cahier">
              <w:r>
                <w:rPr>
                  <w:rStyle w:val="Hyperlink"/>
                </w:rPr>
                <w:t xml:space="preserve">![Consortium CAHIER](IMG/logo_CAHIER_png-200x54.png</w:t>
              </w:r>
            </w:hyperlink>
          </w:p>
        </w:tc>
        <w:tc>
          <w:tcPr/>
          <w:p>
            <w:pPr>
              <w:jc w:val="left"/>
            </w:pPr>
            <w:hyperlink w:anchor="musica">
              <w:r>
                <w:rPr>
                  <w:rStyle w:val="Hyperlink"/>
                </w:rPr>
                <w:t xml:space="preserve">![Consortium MUSICA](IMG/cropped-Logo-Musica2-1.jpg</w:t>
              </w:r>
            </w:hyperlink>
          </w:p>
        </w:tc>
      </w:tr>
    </w:tbl>
    <w:p>
      <w:pPr>
        <w:framePr w:w="0" w:h="0" w:vAnchor="margin" w:hAnchor="margin" w:xAlign="right" w:yAlign="top"/>
      </w:pPr>
    </w:p>
    <w:tbl>
      <w:tblPr>
        <w:tblStyle w:val="Table"/>
        <w:tblW w:type="pct" w:w="4995"/>
        <w:tblLook w:firstRow="0" w:lastRow="0" w:firstColumn="0" w:lastColumn="0" w:noHBand="0" w:noVBand="0" w:val="0000"/>
        <w:jc w:val="start"/>
        <w:tblLayout w:type="fixed"/>
      </w:tblPr>
      <w:tblGrid>
        <w:gridCol w:w="2637"/>
        <w:gridCol w:w="2637"/>
        <w:gridCol w:w="2637"/>
      </w:tblGrid>
      <w:tr>
        <w:tc>
          <w:tcPr/>
          <w:p>
            <w:pPr>
              <w:jc w:val="left"/>
            </w:pPr>
            <w:r>
              <w:t xml:space="preserve">[</w:t>
            </w:r>
            <w:r>
              <w:drawing>
                <wp:inline>
                  <wp:extent cx="5334000" cy="933449"/>
                  <wp:effectExtent b="0" l="0" r="0" t="0"/>
                  <wp:docPr descr="Consortium Archives des mondes contemporains (ArcMC)" title="" id="105" name="Picture"/>
                  <a:graphic>
                    <a:graphicData uri="http://schemas.openxmlformats.org/drawingml/2006/picture">
                      <pic:pic>
                        <pic:nvPicPr>
                          <pic:cNvPr descr="IMG/cropped-BANDEAU_reseau-arcmc_1000x175_juin17_1380X280-1.jpg" id="106" name="Picture"/>
                          <pic:cNvPicPr>
                            <a:picLocks noChangeArrowheads="1" noChangeAspect="1"/>
                          </pic:cNvPicPr>
                        </pic:nvPicPr>
                        <pic:blipFill>
                          <a:blip r:embed="rId104"/>
                          <a:stretch>
                            <a:fillRect/>
                          </a:stretch>
                        </pic:blipFill>
                        <pic:spPr bwMode="auto">
                          <a:xfrm>
                            <a:off x="0" y="0"/>
                            <a:ext cx="5334000" cy="933449"/>
                          </a:xfrm>
                          <a:prstGeom prst="rect">
                            <a:avLst/>
                          </a:prstGeom>
                          <a:noFill/>
                          <a:ln w="9525">
                            <a:noFill/>
                            <a:headEnd/>
                            <a:tailEnd/>
                          </a:ln>
                        </pic:spPr>
                      </pic:pic>
                    </a:graphicData>
                  </a:graphic>
                </wp:inline>
              </w:drawing>
            </w:r>
            <w:r>
              <w:t xml:space="preserve">{height=</w:t>
            </w:r>
            <w:r>
              <w:t xml:space="preserve">“</w:t>
            </w:r>
            <w:r>
              <w:t xml:space="preserve">60px</w:t>
            </w:r>
            <w:r>
              <w:t xml:space="preserve">”</w:t>
            </w:r>
            <w:r>
              <w:t xml:space="preserve">](#archives-des-mondes-contemporains-(arcmc)</w:t>
            </w:r>
          </w:p>
        </w:tc>
        <w:tc>
          <w:tcPr/>
          <w:p>
            <w:pPr>
              <w:jc w:val="left"/>
            </w:pPr>
            <w:hyperlink w:anchor="archives-des-ethnologues">
              <w:r>
                <w:rPr>
                  <w:rStyle w:val="Hyperlink"/>
                </w:rPr>
                <w:t xml:space="preserve">![Consortium Archives des ethnologues](IMG/Logo_Archives_des_ethnologues-200x98.jpg</w:t>
              </w:r>
            </w:hyperlink>
          </w:p>
        </w:tc>
        <w:tc>
          <w:tcPr/>
          <w:p>
            <w:pPr>
              <w:jc w:val="left"/>
            </w:pPr>
            <w:r>
              <w:t xml:space="preserve">[</w:t>
            </w:r>
            <w:r>
              <w:drawing>
                <wp:inline>
                  <wp:extent cx="1905000" cy="1809750"/>
                  <wp:effectExtent b="0" l="0" r="0" t="0"/>
                  <wp:docPr descr="Consortium Archives des sciences sociales du politique (Archipolis)" title="" id="108" name="Picture"/>
                  <a:graphic>
                    <a:graphicData uri="http://schemas.openxmlformats.org/drawingml/2006/picture">
                      <pic:pic>
                        <pic:nvPicPr>
                          <pic:cNvPr descr="IMG/logo-archipolis-200x190.png" id="109" name="Picture"/>
                          <pic:cNvPicPr>
                            <a:picLocks noChangeArrowheads="1" noChangeAspect="1"/>
                          </pic:cNvPicPr>
                        </pic:nvPicPr>
                        <pic:blipFill>
                          <a:blip r:embed="rId107"/>
                          <a:stretch>
                            <a:fillRect/>
                          </a:stretch>
                        </pic:blipFill>
                        <pic:spPr bwMode="auto">
                          <a:xfrm>
                            <a:off x="0" y="0"/>
                            <a:ext cx="1905000" cy="1809750"/>
                          </a:xfrm>
                          <a:prstGeom prst="rect">
                            <a:avLst/>
                          </a:prstGeom>
                          <a:noFill/>
                          <a:ln w="9525">
                            <a:noFill/>
                            <a:headEnd/>
                            <a:tailEnd/>
                          </a:ln>
                        </pic:spPr>
                      </pic:pic>
                    </a:graphicData>
                  </a:graphic>
                </wp:inline>
              </w:drawing>
            </w:r>
            <w:r>
              <w:t xml:space="preserve">{height=</w:t>
            </w:r>
            <w:r>
              <w:t xml:space="preserve">“</w:t>
            </w:r>
            <w:r>
              <w:t xml:space="preserve">100px</w:t>
            </w:r>
            <w:r>
              <w:t xml:space="preserve">”</w:t>
            </w:r>
            <w:r>
              <w:t xml:space="preserve">](#archives-des-sciences-sociales-du-politique-(archipolis)</w:t>
            </w:r>
          </w:p>
        </w:tc>
      </w:tr>
    </w:tbl>
    <w:p>
      <w:pPr>
        <w:framePr w:w="0" w:h="0" w:vAnchor="margin" w:hAnchor="margin" w:xAlign="right" w:yAlign="top"/>
      </w:pPr>
    </w:p>
    <w:tbl>
      <w:tblPr>
        <w:tblStyle w:val="Table"/>
        <w:tblW w:type="pct" w:w="3330"/>
        <w:tblLook w:firstRow="0" w:lastRow="0" w:firstColumn="0" w:lastColumn="0" w:noHBand="0" w:noVBand="0" w:val="0000"/>
        <w:jc w:val="start"/>
        <w:tblLayout w:type="fixed"/>
      </w:tblPr>
      <w:tblGrid>
        <w:gridCol w:w="2637"/>
        <w:gridCol w:w="2637"/>
      </w:tblGrid>
      <w:tr>
        <w:tc>
          <w:tcPr/>
          <w:p>
            <w:pPr>
              <w:jc w:val="left"/>
            </w:pPr>
            <w:hyperlink w:anchor="corpus-ecrits">
              <w:r>
                <w:rPr>
                  <w:rStyle w:val="Hyperlink"/>
                </w:rPr>
                <w:t xml:space="preserve">![Consortium CORPUS ECRITS](IMG/consortiumCorpusEcrits.png</w:t>
              </w:r>
            </w:hyperlink>
          </w:p>
        </w:tc>
        <w:tc>
          <w:tcPr/>
          <w:p>
            <w:pPr>
              <w:jc w:val="left"/>
            </w:pPr>
            <w:hyperlink w:anchor="ircom">
              <w:r>
                <w:rPr>
                  <w:rStyle w:val="Hyperlink"/>
                </w:rPr>
                <w:t xml:space="preserve">![Consortium IRCOM](IMG/consortiumIRCOM.png</w:t>
              </w:r>
            </w:hyperlink>
          </w:p>
        </w:tc>
      </w:tr>
    </w:tbl>
    <w:p>
      <w:pPr>
        <w:pStyle w:val="BodyText"/>
      </w:pPr>
      <w:r>
        <w:t xml:space="preserve">⁛‥⁛⁝⁛⁝⁛⁝⁛‥⁛</w:t>
      </w:r>
    </w:p>
    <w:bookmarkStart w:id="110" w:name="imageo"/>
    <w:p>
      <w:pPr>
        <w:pStyle w:val="Heading2"/>
      </w:pPr>
      <w:r>
        <w:t xml:space="preserve">ImaGEO</w:t>
      </w:r>
    </w:p>
    <w:bookmarkEnd w:id="110"/>
    <w:bookmarkStart w:id="111" w:name="cosme-2"/>
    <w:p>
      <w:pPr>
        <w:pStyle w:val="Heading2"/>
      </w:pPr>
      <w:r>
        <w:t xml:space="preserve">COSME 2</w:t>
      </w:r>
    </w:p>
    <w:bookmarkEnd w:id="111"/>
    <w:bookmarkStart w:id="112" w:name="masa"/>
    <w:p>
      <w:pPr>
        <w:pStyle w:val="Heading2"/>
      </w:pPr>
      <w:r>
        <w:t xml:space="preserve">MASA</w:t>
      </w:r>
    </w:p>
    <w:bookmarkEnd w:id="112"/>
    <w:bookmarkStart w:id="113" w:name="corli-1"/>
    <w:p>
      <w:pPr>
        <w:pStyle w:val="Heading2"/>
      </w:pPr>
      <w:r>
        <w:t xml:space="preserve">CORLI 1</w:t>
      </w:r>
    </w:p>
    <w:bookmarkEnd w:id="113"/>
    <w:bookmarkStart w:id="114" w:name="cahier"/>
    <w:p>
      <w:pPr>
        <w:pStyle w:val="Heading2"/>
      </w:pPr>
      <w:r>
        <w:t xml:space="preserve">CAHIER</w:t>
      </w:r>
    </w:p>
    <w:p>
      <w:pPr>
        <w:numPr>
          <w:ilvl w:val="0"/>
          <w:numId w:val="1011"/>
        </w:numPr>
        <w:pStyle w:val="Compact"/>
      </w:pPr>
      <w:r>
        <w:t xml:space="preserve">Carnet hypothèses</w:t>
      </w:r>
      <w:r>
        <w:t xml:space="preserve"> </w:t>
      </w:r>
      <w:r>
        <w:t xml:space="preserve">(Consortium Cahier, 2022)</w:t>
      </w:r>
      <w:r>
        <w:t xml:space="preserve">.</w:t>
      </w:r>
    </w:p>
    <w:p>
      <w:pPr>
        <w:numPr>
          <w:ilvl w:val="0"/>
          <w:numId w:val="1011"/>
        </w:numPr>
        <w:pStyle w:val="Compact"/>
      </w:pPr>
      <w:r>
        <w:t xml:space="preserve">Guide pour la FAIRisation des données des corpus d’auteurs</w:t>
      </w:r>
      <w:r>
        <w:t xml:space="preserve"> </w:t>
      </w:r>
      <w:r>
        <w:t xml:space="preserve">(Groupe de travail Data_Cahier et al., 2020)</w:t>
      </w:r>
    </w:p>
    <w:bookmarkEnd w:id="114"/>
    <w:bookmarkStart w:id="115" w:name="musica"/>
    <w:p>
      <w:pPr>
        <w:pStyle w:val="Heading2"/>
      </w:pPr>
      <w:r>
        <w:t xml:space="preserve">MUSICA</w:t>
      </w:r>
    </w:p>
    <w:bookmarkEnd w:id="115"/>
    <w:bookmarkStart w:id="116" w:name="archives-des-mondes-contemporains-arcmc"/>
    <w:p>
      <w:pPr>
        <w:pStyle w:val="Heading2"/>
      </w:pPr>
      <w:r>
        <w:t xml:space="preserve">Archives des mondes contemporains (ArcMC)</w:t>
      </w:r>
    </w:p>
    <w:bookmarkEnd w:id="116"/>
    <w:bookmarkStart w:id="117" w:name="archives-des-ethnologues"/>
    <w:p>
      <w:pPr>
        <w:pStyle w:val="Heading2"/>
      </w:pPr>
      <w:r>
        <w:t xml:space="preserve">Archives des ethnologues</w:t>
      </w:r>
    </w:p>
    <w:bookmarkEnd w:id="117"/>
    <w:bookmarkStart w:id="118" w:name="X62041369bad73a1ac72aebeb05890635781de57"/>
    <w:p>
      <w:pPr>
        <w:pStyle w:val="Heading2"/>
      </w:pPr>
      <w:r>
        <w:t xml:space="preserve">Archives des sciences sociales du politique (Archipolis)</w:t>
      </w:r>
    </w:p>
    <w:bookmarkEnd w:id="118"/>
    <w:bookmarkStart w:id="119" w:name="corpus-ecrits"/>
    <w:p>
      <w:pPr>
        <w:pStyle w:val="Heading2"/>
      </w:pPr>
      <w:r>
        <w:t xml:space="preserve">CORPUS ECRITS</w:t>
      </w:r>
    </w:p>
    <w:bookmarkEnd w:id="119"/>
    <w:bookmarkStart w:id="120" w:name="ircom"/>
    <w:p>
      <w:pPr>
        <w:pStyle w:val="Heading2"/>
      </w:pPr>
      <w:r>
        <w:t xml:space="preserve">IRCOM</w:t>
      </w:r>
    </w:p>
    <w:bookmarkEnd w:id="120"/>
    <w:bookmarkEnd w:id="121"/>
    <w:bookmarkStart w:id="153" w:name="utiliser-et-produire-des-données-fair"/>
    <w:p>
      <w:pPr>
        <w:pStyle w:val="Heading1"/>
      </w:pPr>
      <w:r>
        <w:t xml:space="preserve">Utiliser et produire des données FAIR</w:t>
      </w:r>
    </w:p>
    <w:bookmarkStart w:id="131" w:name="Xf161ce4e845605e78131b4d64b6b8fdcd316aa3"/>
    <w:p>
      <w:pPr>
        <w:pStyle w:val="Heading2"/>
      </w:pPr>
      <w:r>
        <w:t xml:space="preserve">Accéssibilité et intéropérabilité au cœur du numérique</w:t>
      </w:r>
    </w:p>
    <w:p>
      <w:pPr>
        <w:numPr>
          <w:ilvl w:val="0"/>
          <w:numId w:val="1012"/>
        </w:numPr>
      </w:pPr>
      <w:r>
        <w:t xml:space="preserve">Une inspiration majeure des principes FAIR : le</w:t>
      </w:r>
      <w:r>
        <w:t xml:space="preserve"> </w:t>
      </w:r>
      <w:r>
        <w:rPr>
          <w:iCs/>
          <w:i/>
        </w:rPr>
        <w:t xml:space="preserve">5-Star Open Data</w:t>
      </w:r>
      <w:r>
        <w:t xml:space="preserve"> </w:t>
      </w:r>
      <w:r>
        <w:t xml:space="preserve">proné par Tim-Berners Lee, mis en forme par Michael Hausenblas sur ce site :</w:t>
      </w:r>
      <w:r>
        <w:t xml:space="preserve"> </w:t>
      </w:r>
      <w:hyperlink r:id="rId122">
        <w:r>
          <w:rPr>
            <w:rStyle w:val="Hyperlink"/>
          </w:rPr>
          <w:t xml:space="preserve">http://5stardata.info/fr/</w:t>
        </w:r>
      </w:hyperlink>
      <w:r>
        <w:t xml:space="preserve"> </w:t>
      </w:r>
      <w:r>
        <w:t xml:space="preserve">(Hausenblas, 2012)</w:t>
      </w:r>
      <w:r>
        <w:t xml:space="preserve">.</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numPr>
                <w:ilvl w:val="0"/>
                <w:numId w:val="1000"/>
              </w:numPr>
            </w:pPr>
            <w:pPr>
              <w:spacing w:before="0" w:after="8"/>
              <w:jc w:val="center"/>
            </w:pPr>
            <w:r>
              <w:drawing>
                <wp:inline>
                  <wp:extent cx="152400" cy="152400"/>
                  <wp:effectExtent b="0" l="0" r="0" t="0"/>
                  <wp:docPr descr="" title="" id="123" name="Picture"/>
                  <a:graphic>
                    <a:graphicData uri="http://schemas.openxmlformats.org/drawingml/2006/picture">
                      <pic:pic>
                        <pic:nvPicPr>
                          <pic:cNvPr descr="C:\Users\jrabaud001\AppData\Local\Programs\Quarto\share\formats\docx\tip.png" id="124" name="Picture"/>
                          <pic:cNvPicPr>
                            <a:picLocks noChangeArrowheads="1" noChangeAspect="1"/>
                          </pic:cNvPicPr>
                        </pic:nvPicPr>
                        <pic:blipFill>
                          <a:blip r:embed="rId86"/>
                          <a:stretch>
                            <a:fillRect/>
                          </a:stretch>
                        </pic:blipFill>
                        <pic:spPr bwMode="auto">
                          <a:xfrm>
                            <a:off x="0" y="0"/>
                            <a:ext cx="152400" cy="152400"/>
                          </a:xfrm>
                          <a:prstGeom prst="rect">
                            <a:avLst/>
                          </a:prstGeom>
                          <a:noFill/>
                          <a:ln w="9525">
                            <a:noFill/>
                            <a:headEnd/>
                            <a:tailEnd/>
                          </a:ln>
                        </pic:spPr>
                      </pic:pic>
                    </a:graphicData>
                  </a:graphic>
                </wp:inline>
              </w:drawing>
            </w:r>
          </w:p>
        </w:tc>
        <w:tc>
          <w:p>
            <w:pPr>
              <w:numPr>
                <w:ilvl w:val="0"/>
                <w:numId w:val="1000"/>
              </w:numPr>
            </w:pPr>
            <w:pPr>
              <w:spacing w:before="16" w:after="64"/>
            </w:pPr>
            <w:r>
              <w:rPr>
                <w:bCs/>
                <w:b/>
              </w:rPr>
              <w:t xml:space="preserve">Les étapes</w:t>
            </w:r>
            <w:r>
              <w:rPr>
                <w:bCs/>
                <w:b/>
              </w:rPr>
              <w:t xml:space="preserve"> </w:t>
            </w:r>
            <w:r>
              <w:rPr>
                <w:iCs/>
                <w:i/>
                <w:bCs/>
                <w:b/>
              </w:rPr>
              <w:t xml:space="preserve">5-Star OpenData</w:t>
            </w:r>
          </w:p>
          <w:p>
            <w:pPr>
              <w:pStyle w:val="Compact"/>
            </w:pPr>
            <w:r>
              <w:t xml:space="preserve">Illustration des étapes</w:t>
            </w:r>
            <w:r>
              <w:t xml:space="preserve"> </w:t>
            </w:r>
            <w:r>
              <w:rPr>
                <w:iCs/>
                <w:i/>
              </w:rPr>
              <w:t xml:space="preserve">5-Star OpenData</w:t>
            </w:r>
          </w:p>
          <w:tbl>
            <w:tblPr>
              <w:tblStyle w:val="Table"/>
              <w:tblW w:type="pct" w:w="5000"/>
              <w:tblLook w:firstRow="1" w:lastRow="0" w:firstColumn="0" w:lastColumn="0" w:noHBand="0" w:noVBand="0" w:val="0020"/>
              <w:jc w:val="start"/>
              <w:tblInd w:w="720" w:type="dxa"/>
              <w:tblLayout w:type="fixed"/>
              <w:tblCaption w:val="Illustration des étapes 5-Star OpenData"/>
            </w:tblPr>
            <w:tblGrid>
              <w:gridCol w:w="1584"/>
              <w:gridCol w:w="6336"/>
            </w:tblGrid>
            <w:tr>
              <w:trPr>
                <w:tblHeader w:val="true"/>
              </w:trPr>
              <w:tc>
                <w:tcPr/>
                <w:p>
                  <w:pPr>
                    <w:pStyle w:val="Compact"/>
                    <w:jc w:val="left"/>
                  </w:pPr>
                  <w:r>
                    <w:t xml:space="preserve">étoiles</w:t>
                  </w:r>
                </w:p>
              </w:tc>
              <w:tc>
                <w:tcPr/>
                <w:p>
                  <w:pPr>
                    <w:pStyle w:val="Compact"/>
                    <w:jc w:val="left"/>
                  </w:pPr>
                  <w:r>
                    <w:t xml:space="preserve">étape</w:t>
                  </w:r>
                </w:p>
              </w:tc>
            </w:tr>
            <w:tr>
              <w:tc>
                <w:tcPr/>
                <w:p>
                  <w:pPr>
                    <w:pStyle w:val="Compact"/>
                    <w:jc w:val="left"/>
                  </w:pPr>
                  <w:r>
                    <w:t xml:space="preserve">★</w:t>
                  </w:r>
                </w:p>
              </w:tc>
              <w:tc>
                <w:tcPr/>
                <w:p>
                  <w:pPr>
                    <w:pStyle w:val="Compact"/>
                    <w:jc w:val="left"/>
                  </w:pPr>
                  <w:r>
                    <w:t xml:space="preserve">Publiez vos données sur le Web (peu importe leur format) avec une licence ouverte</w:t>
                  </w:r>
                </w:p>
              </w:tc>
            </w:tr>
            <w:tr>
              <w:tc>
                <w:tcPr/>
                <w:p>
                  <w:pPr>
                    <w:pStyle w:val="Compact"/>
                    <w:jc w:val="left"/>
                  </w:pPr>
                  <w:r>
                    <w:t xml:space="preserve">★★</w:t>
                  </w:r>
                </w:p>
              </w:tc>
              <w:tc>
                <w:tcPr/>
                <w:p>
                  <w:pPr>
                    <w:pStyle w:val="Compact"/>
                    <w:jc w:val="left"/>
                  </w:pPr>
                  <w:r>
                    <w:t xml:space="preserve">Publiez-les en tant que données structurées (par exemple, un document Excel au lieu d’une image scannée d’un tableau)</w:t>
                  </w:r>
                </w:p>
              </w:tc>
            </w:tr>
            <w:tr>
              <w:tc>
                <w:tcPr/>
                <w:p>
                  <w:pPr>
                    <w:pStyle w:val="Compact"/>
                    <w:jc w:val="left"/>
                  </w:pPr>
                  <w:r>
                    <w:t xml:space="preserve">★★★</w:t>
                  </w:r>
                </w:p>
              </w:tc>
              <w:tc>
                <w:tcPr/>
                <w:p>
                  <w:pPr>
                    <w:pStyle w:val="Compact"/>
                    <w:jc w:val="left"/>
                  </w:pPr>
                  <w:r>
                    <w:t xml:space="preserve">Publiez-les dans un format ouvert et non-propriétaire (par exemple, un CSV plutôt qu’un Excel)</w:t>
                  </w:r>
                </w:p>
              </w:tc>
            </w:tr>
            <w:tr>
              <w:tc>
                <w:tcPr/>
                <w:p>
                  <w:pPr>
                    <w:pStyle w:val="Compact"/>
                    <w:jc w:val="left"/>
                  </w:pPr>
                  <w:r>
                    <w:t xml:space="preserve">★★★★</w:t>
                  </w:r>
                </w:p>
              </w:tc>
              <w:tc>
                <w:tcPr/>
                <w:p>
                  <w:pPr>
                    <w:pStyle w:val="Compact"/>
                    <w:jc w:val="left"/>
                  </w:pPr>
                  <w:r>
                    <w:t xml:space="preserve">Utilisez des URI pour désigner des choses dans vos données, afin que les gens puissent faire des références à celles-ci</w:t>
                  </w:r>
                </w:p>
              </w:tc>
            </w:tr>
            <w:tr>
              <w:tc>
                <w:tcPr/>
                <w:p>
                  <w:pPr>
                    <w:pStyle w:val="Compact"/>
                    <w:jc w:val="left"/>
                  </w:pPr>
                  <w:r>
                    <w:t xml:space="preserve">★★★★★</w:t>
                  </w:r>
                </w:p>
              </w:tc>
              <w:tc>
                <w:tcPr/>
                <w:p>
                  <w:pPr>
                    <w:pStyle w:val="Compact"/>
                    <w:jc w:val="left"/>
                  </w:pPr>
                  <w:r>
                    <w:t xml:space="preserve">liez vos données à d’autres données pour y ajouter du contexte</w:t>
                  </w:r>
                </w:p>
              </w:tc>
            </w:tr>
          </w:tbl>
        </w:tc>
      </w:tr>
    </w:tbl>
    <w:bookmarkStart w:id="130" w:name="fair-guiding-principles"/>
    <w:p>
      <w:pPr>
        <w:pStyle w:val="Heading3"/>
      </w:pPr>
      <w:r>
        <w:t xml:space="preserve">FAIR Guiding Principles</w:t>
      </w:r>
    </w:p>
    <w:p>
      <w:pPr>
        <w:pStyle w:val="FirstParagraph"/>
      </w:pPr>
      <w:r>
        <w:t xml:space="preserve">D’après l’article de référence</w:t>
      </w:r>
      <w:r>
        <w:t xml:space="preserve"> </w:t>
      </w:r>
      <w:r>
        <w:rPr>
          <w:iCs/>
          <w:i/>
        </w:rPr>
        <w:t xml:space="preserve">The FAIR Guiding Principles for Scientific Data Management and Stewardship</w:t>
      </w:r>
      <w:r>
        <w:t xml:space="preserve"> </w:t>
      </w:r>
      <w:r>
        <w:t xml:space="preserve">(Wilkinson et al., 2016)</w:t>
      </w:r>
    </w:p>
    <w:p>
      <w:pPr>
        <w:pStyle w:val="BodyText"/>
      </w:pPr>
      <w:r>
        <w:t xml:space="preserve">Mis en items sur ce</w:t>
      </w:r>
      <w:r>
        <w:t xml:space="preserve"> </w:t>
      </w:r>
      <w:hyperlink r:id="rId125">
        <w:r>
          <w:rPr>
            <w:rStyle w:val="Hyperlink"/>
          </w:rPr>
          <w:t xml:space="preserve">site web</w:t>
        </w:r>
      </w:hyperlink>
      <w:r>
        <w:t xml:space="preserve"> </w:t>
      </w:r>
      <w:r>
        <w:t xml:space="preserve">:</w:t>
      </w:r>
    </w:p>
    <w:p>
      <w:pPr>
        <w:pStyle w:val="BodyText"/>
      </w:pPr>
      <w:r>
        <w:drawing>
          <wp:inline>
            <wp:extent cx="1714500" cy="1140767"/>
            <wp:effectExtent b="0" l="0" r="0" t="0"/>
            <wp:docPr descr="" title="" id="127" name="Picture"/>
            <a:graphic>
              <a:graphicData uri="http://schemas.openxmlformats.org/drawingml/2006/picture">
                <pic:pic>
                  <pic:nvPicPr>
                    <pic:cNvPr descr="IMG/GOFAIR-logo-png-1-768x511.png" id="128" name="Picture"/>
                    <pic:cNvPicPr>
                      <a:picLocks noChangeArrowheads="1" noChangeAspect="1"/>
                    </pic:cNvPicPr>
                  </pic:nvPicPr>
                  <pic:blipFill>
                    <a:blip r:embed="rId126"/>
                    <a:stretch>
                      <a:fillRect/>
                    </a:stretch>
                  </pic:blipFill>
                  <pic:spPr bwMode="auto">
                    <a:xfrm>
                      <a:off x="0" y="0"/>
                      <a:ext cx="1714500" cy="1140767"/>
                    </a:xfrm>
                    <a:prstGeom prst="rect">
                      <a:avLst/>
                    </a:prstGeom>
                    <a:noFill/>
                    <a:ln w="9525">
                      <a:noFill/>
                      <a:headEnd/>
                      <a:tailEnd/>
                    </a:ln>
                  </pic:spPr>
                </pic:pic>
              </a:graphicData>
            </a:graphic>
          </wp:inline>
        </w:drawing>
      </w:r>
    </w:p>
    <w:p>
      <w:pPr>
        <w:pStyle w:val="BlockText"/>
      </w:pPr>
      <w:r>
        <w:rPr>
          <w:iCs/>
          <w:i/>
        </w:rPr>
        <w:t xml:space="preserve">The principles refer to three types of entities:</w:t>
      </w:r>
      <w:r>
        <w:rPr>
          <w:iCs/>
          <w:i/>
        </w:rPr>
        <w:t xml:space="preserve"> </w:t>
      </w:r>
      <w:r>
        <w:rPr>
          <w:bCs/>
          <w:b/>
          <w:iCs/>
          <w:i/>
        </w:rPr>
        <w:t xml:space="preserve">data</w:t>
      </w:r>
      <w:r>
        <w:rPr>
          <w:iCs/>
          <w:i/>
        </w:rPr>
        <w:t xml:space="preserve"> </w:t>
      </w:r>
      <w:r>
        <w:rPr>
          <w:iCs/>
          <w:i/>
        </w:rPr>
        <w:t xml:space="preserve">(or any digital object),</w:t>
      </w:r>
      <w:r>
        <w:rPr>
          <w:iCs/>
          <w:i/>
        </w:rPr>
        <w:t xml:space="preserve"> </w:t>
      </w:r>
      <w:r>
        <w:rPr>
          <w:bCs/>
          <w:b/>
          <w:iCs/>
          <w:i/>
        </w:rPr>
        <w:t xml:space="preserve">metadata</w:t>
      </w:r>
      <w:r>
        <w:rPr>
          <w:iCs/>
          <w:i/>
        </w:rPr>
        <w:t xml:space="preserve"> </w:t>
      </w:r>
      <w:r>
        <w:rPr>
          <w:iCs/>
          <w:i/>
        </w:rPr>
        <w:t xml:space="preserve">(information about that digital object), and</w:t>
      </w:r>
      <w:r>
        <w:rPr>
          <w:iCs/>
          <w:i/>
        </w:rPr>
        <w:t xml:space="preserve"> </w:t>
      </w:r>
      <w:r>
        <w:rPr>
          <w:bCs/>
          <w:b/>
          <w:iCs/>
          <w:i/>
        </w:rPr>
        <w:t xml:space="preserve">infrastructure</w:t>
      </w:r>
      <w:r>
        <w:rPr>
          <w:iCs/>
          <w:i/>
        </w:rPr>
        <w:t xml:space="preserve">. For instance, principle</w:t>
      </w:r>
      <w:r>
        <w:rPr>
          <w:iCs/>
          <w:i/>
        </w:rPr>
        <w:t xml:space="preserve"> </w:t>
      </w:r>
      <w:hyperlink r:id="rId129">
        <w:r>
          <w:rPr>
            <w:rStyle w:val="Hyperlink"/>
            <w:iCs/>
            <w:i/>
          </w:rPr>
          <w:t xml:space="preserve">F4</w:t>
        </w:r>
      </w:hyperlink>
      <w:r>
        <w:rPr>
          <w:iCs/>
          <w:i/>
        </w:rPr>
        <w:t xml:space="preserve"> </w:t>
      </w:r>
      <w:r>
        <w:rPr>
          <w:iCs/>
          <w:i/>
        </w:rPr>
        <w:t xml:space="preserve">defines that both metadata and data are registered or indexed in a searchable resource (the infrastructure component).</w:t>
      </w:r>
    </w:p>
    <w:bookmarkEnd w:id="130"/>
    <w:bookmarkEnd w:id="131"/>
    <w:p>
      <w:pPr>
        <w:pStyle w:val="Heading2"/>
      </w:pPr>
      <w:r>
        <w:t xml:space="preserve">Findable</w:t>
      </w:r>
    </w:p>
    <w:p>
      <w:pPr>
        <w:pStyle w:val="FirstParagraph"/>
      </w:pPr>
      <w:r>
        <w:rPr>
          <w:iCs/>
          <w:i/>
        </w:rPr>
        <w:t xml:space="preserve">The first step in (re)using data is to find them. Metadata and data should be easy to find for both humans and computers. Machine-readable metadata are essential for automatic discovery of datasets and services, so this is an essential component of the</w:t>
      </w:r>
      <w:r>
        <w:rPr>
          <w:iCs/>
          <w:i/>
        </w:rPr>
        <w:t xml:space="preserve"> </w:t>
      </w:r>
      <w:hyperlink r:id="rId132">
        <w:r>
          <w:rPr>
            <w:rStyle w:val="Hyperlink"/>
            <w:iCs/>
            <w:i/>
          </w:rPr>
          <w:t xml:space="preserve">FAIRification process</w:t>
        </w:r>
      </w:hyperlink>
      <w:r>
        <w:t xml:space="preserve">.</w:t>
      </w:r>
    </w:p>
    <w:p>
      <w:pPr>
        <w:numPr>
          <w:ilvl w:val="0"/>
          <w:numId w:val="1013"/>
        </w:numPr>
        <w:pStyle w:val="Compact"/>
      </w:pPr>
      <w:hyperlink r:id="rId133">
        <w:r>
          <w:rPr>
            <w:rStyle w:val="Hyperlink"/>
            <w:bCs/>
            <w:b/>
          </w:rPr>
          <w:t xml:space="preserve">F1</w:t>
        </w:r>
        <w:r>
          <w:rPr>
            <w:rStyle w:val="Hyperlink"/>
          </w:rPr>
          <w:t xml:space="preserve">. (Meta)data are assigned a globally unique and</w:t>
        </w:r>
        <w:r>
          <w:rPr>
            <w:rStyle w:val="Hyperlink"/>
          </w:rPr>
          <w:t xml:space="preserve"> </w:t>
        </w:r>
        <w:r>
          <w:rPr>
            <w:rStyle w:val="Hyperlink"/>
            <w:bCs/>
            <w:b/>
          </w:rPr>
          <w:t xml:space="preserve">persistent identifier</w:t>
        </w:r>
      </w:hyperlink>
    </w:p>
    <w:p>
      <w:pPr>
        <w:numPr>
          <w:ilvl w:val="0"/>
          <w:numId w:val="1013"/>
        </w:numPr>
        <w:pStyle w:val="Compact"/>
      </w:pPr>
      <w:hyperlink r:id="rId134">
        <w:r>
          <w:rPr>
            <w:rStyle w:val="Hyperlink"/>
            <w:bCs/>
            <w:b/>
          </w:rPr>
          <w:t xml:space="preserve">F2</w:t>
        </w:r>
        <w:r>
          <w:rPr>
            <w:rStyle w:val="Hyperlink"/>
          </w:rPr>
          <w:t xml:space="preserve">. Data are described with</w:t>
        </w:r>
        <w:r>
          <w:rPr>
            <w:rStyle w:val="Hyperlink"/>
          </w:rPr>
          <w:t xml:space="preserve"> </w:t>
        </w:r>
        <w:r>
          <w:rPr>
            <w:rStyle w:val="Hyperlink"/>
            <w:bCs/>
            <w:b/>
          </w:rPr>
          <w:t xml:space="preserve">rich metadata</w:t>
        </w:r>
        <w:r>
          <w:rPr>
            <w:rStyle w:val="Hyperlink"/>
          </w:rPr>
          <w:t xml:space="preserve"> </w:t>
        </w:r>
        <w:r>
          <w:rPr>
            <w:rStyle w:val="Hyperlink"/>
          </w:rPr>
          <w:t xml:space="preserve">(defined by R1 below)</w:t>
        </w:r>
      </w:hyperlink>
    </w:p>
    <w:p>
      <w:pPr>
        <w:numPr>
          <w:ilvl w:val="0"/>
          <w:numId w:val="1013"/>
        </w:numPr>
        <w:pStyle w:val="Compact"/>
      </w:pPr>
      <w:hyperlink r:id="rId135">
        <w:r>
          <w:rPr>
            <w:rStyle w:val="Hyperlink"/>
            <w:bCs/>
            <w:b/>
          </w:rPr>
          <w:t xml:space="preserve">F3</w:t>
        </w:r>
        <w:r>
          <w:rPr>
            <w:rStyle w:val="Hyperlink"/>
          </w:rPr>
          <w:t xml:space="preserve">. Metadata clearly and explicitly include the identifier of the data they describe</w:t>
        </w:r>
      </w:hyperlink>
    </w:p>
    <w:p>
      <w:pPr>
        <w:numPr>
          <w:ilvl w:val="0"/>
          <w:numId w:val="1013"/>
        </w:numPr>
        <w:pStyle w:val="Compact"/>
      </w:pPr>
      <w:hyperlink r:id="rId129">
        <w:r>
          <w:rPr>
            <w:rStyle w:val="Hyperlink"/>
            <w:bCs/>
            <w:b/>
          </w:rPr>
          <w:t xml:space="preserve">F4</w:t>
        </w:r>
        <w:r>
          <w:rPr>
            <w:rStyle w:val="Hyperlink"/>
          </w:rPr>
          <w:t xml:space="preserve">. (Meta)data are registered or indexed in a searchable resource</w:t>
        </w:r>
      </w:hyperlink>
    </w:p>
    <w:p>
      <w:pPr>
        <w:pStyle w:val="Heading2"/>
      </w:pPr>
      <w:r>
        <w:t xml:space="preserve">Accessible</w:t>
      </w:r>
    </w:p>
    <w:p>
      <w:pPr>
        <w:pStyle w:val="FirstParagraph"/>
      </w:pPr>
      <w:r>
        <w:rPr>
          <w:iCs/>
          <w:i/>
        </w:rPr>
        <w:t xml:space="preserve">Once the user finds the required data, she/he/they need to know how can they be accessed, possibly including authentication and authorisation.</w:t>
      </w:r>
    </w:p>
    <w:p>
      <w:pPr>
        <w:numPr>
          <w:ilvl w:val="0"/>
          <w:numId w:val="1014"/>
        </w:numPr>
        <w:pStyle w:val="Compact"/>
      </w:pPr>
      <w:hyperlink r:id="rId136">
        <w:r>
          <w:rPr>
            <w:rStyle w:val="Hyperlink"/>
            <w:bCs/>
            <w:b/>
          </w:rPr>
          <w:t xml:space="preserve">A1</w:t>
        </w:r>
        <w:r>
          <w:rPr>
            <w:rStyle w:val="Hyperlink"/>
          </w:rPr>
          <w:t xml:space="preserve">. (Meta)data are retrievable by their identifier using a standardised communications protocol</w:t>
        </w:r>
      </w:hyperlink>
    </w:p>
    <w:p>
      <w:pPr>
        <w:numPr>
          <w:ilvl w:val="1"/>
          <w:numId w:val="1015"/>
        </w:numPr>
        <w:pStyle w:val="Compact"/>
      </w:pPr>
      <w:hyperlink r:id="rId137">
        <w:r>
          <w:rPr>
            <w:rStyle w:val="Hyperlink"/>
            <w:bCs/>
            <w:b/>
          </w:rPr>
          <w:t xml:space="preserve">A1.1</w:t>
        </w:r>
        <w:r>
          <w:rPr>
            <w:rStyle w:val="Hyperlink"/>
          </w:rPr>
          <w:t xml:space="preserve"> </w:t>
        </w:r>
        <w:r>
          <w:rPr>
            <w:rStyle w:val="Hyperlink"/>
          </w:rPr>
          <w:t xml:space="preserve">The protocol is open, free, and universally implementable</w:t>
        </w:r>
      </w:hyperlink>
    </w:p>
    <w:p>
      <w:pPr>
        <w:numPr>
          <w:ilvl w:val="1"/>
          <w:numId w:val="1015"/>
        </w:numPr>
        <w:pStyle w:val="Compact"/>
      </w:pPr>
      <w:hyperlink r:id="rId138">
        <w:r>
          <w:rPr>
            <w:rStyle w:val="Hyperlink"/>
            <w:bCs/>
            <w:b/>
          </w:rPr>
          <w:t xml:space="preserve">A1.2</w:t>
        </w:r>
        <w:r>
          <w:rPr>
            <w:rStyle w:val="Hyperlink"/>
          </w:rPr>
          <w:t xml:space="preserve"> </w:t>
        </w:r>
        <w:r>
          <w:rPr>
            <w:rStyle w:val="Hyperlink"/>
          </w:rPr>
          <w:t xml:space="preserve">The protocol allows for an authentication and authorisation procedure, where necessary</w:t>
        </w:r>
      </w:hyperlink>
    </w:p>
    <w:p>
      <w:pPr>
        <w:numPr>
          <w:ilvl w:val="0"/>
          <w:numId w:val="1014"/>
        </w:numPr>
        <w:pStyle w:val="Compact"/>
      </w:pPr>
      <w:hyperlink r:id="rId139">
        <w:r>
          <w:rPr>
            <w:rStyle w:val="Hyperlink"/>
            <w:bCs/>
            <w:b/>
          </w:rPr>
          <w:t xml:space="preserve">A2</w:t>
        </w:r>
        <w:r>
          <w:rPr>
            <w:rStyle w:val="Hyperlink"/>
          </w:rPr>
          <w:t xml:space="preserve">. Metadata are accessible, even when the data are no longer available</w:t>
        </w:r>
      </w:hyperlink>
    </w:p>
    <w:p>
      <w:pPr>
        <w:pStyle w:val="Heading2"/>
      </w:pPr>
      <w:r>
        <w:t xml:space="preserve">Interoperable</w:t>
      </w:r>
    </w:p>
    <w:p>
      <w:pPr>
        <w:pStyle w:val="FirstParagraph"/>
      </w:pPr>
      <w:r>
        <w:rPr>
          <w:iCs/>
          <w:i/>
        </w:rPr>
        <w:t xml:space="preserve">The data usually need to be integrated with other data. In addition, the data need to interoperate with applications or workflows for analysis, storage, and processing.</w:t>
      </w:r>
    </w:p>
    <w:p>
      <w:pPr>
        <w:numPr>
          <w:ilvl w:val="0"/>
          <w:numId w:val="1016"/>
        </w:numPr>
      </w:pPr>
      <w:hyperlink r:id="rId140">
        <w:r>
          <w:rPr>
            <w:rStyle w:val="Hyperlink"/>
            <w:bCs/>
            <w:b/>
          </w:rPr>
          <w:t xml:space="preserve">I1</w:t>
        </w:r>
        <w:r>
          <w:rPr>
            <w:rStyle w:val="Hyperlink"/>
          </w:rPr>
          <w:t xml:space="preserve">. (Meta)data use a formal, accessible, shared, and broadly applicable language for knowledge representation.</w:t>
        </w:r>
      </w:hyperlink>
    </w:p>
    <w:p>
      <w:pPr>
        <w:numPr>
          <w:ilvl w:val="0"/>
          <w:numId w:val="1016"/>
        </w:numPr>
      </w:pPr>
      <w:hyperlink r:id="rId141">
        <w:r>
          <w:rPr>
            <w:rStyle w:val="Hyperlink"/>
            <w:bCs/>
            <w:b/>
          </w:rPr>
          <w:t xml:space="preserve">I2</w:t>
        </w:r>
        <w:r>
          <w:rPr>
            <w:rStyle w:val="Hyperlink"/>
          </w:rPr>
          <w:t xml:space="preserve">. (Meta)data use vocabularies that follow FAIR principles</w:t>
        </w:r>
      </w:hyperlink>
    </w:p>
    <w:p>
      <w:pPr>
        <w:numPr>
          <w:ilvl w:val="0"/>
          <w:numId w:val="1016"/>
        </w:numPr>
      </w:pPr>
      <w:hyperlink r:id="rId142">
        <w:r>
          <w:rPr>
            <w:rStyle w:val="Hyperlink"/>
            <w:bCs/>
            <w:b/>
          </w:rPr>
          <w:t xml:space="preserve">I3</w:t>
        </w:r>
        <w:r>
          <w:rPr>
            <w:rStyle w:val="Hyperlink"/>
          </w:rPr>
          <w:t xml:space="preserve">. (Meta)data include qualified references to other (meta)data</w:t>
        </w:r>
      </w:hyperlink>
    </w:p>
    <w:p>
      <w:pPr>
        <w:pStyle w:val="Heading2"/>
      </w:pPr>
      <w:r>
        <w:t xml:space="preserve">Reusable</w:t>
      </w:r>
    </w:p>
    <w:p>
      <w:pPr>
        <w:pStyle w:val="FirstParagraph"/>
      </w:pPr>
      <w:r>
        <w:rPr>
          <w:iCs/>
          <w:i/>
        </w:rPr>
        <w:t xml:space="preserve">The ultimate goal of FAIR is to optimise the reuse of data. To achieve this, metadata and data should be well-described so that they can be replicated and/or combined in different settings.</w:t>
      </w:r>
    </w:p>
    <w:p>
      <w:pPr>
        <w:numPr>
          <w:ilvl w:val="0"/>
          <w:numId w:val="1017"/>
        </w:numPr>
      </w:pPr>
      <w:hyperlink r:id="rId143">
        <w:r>
          <w:rPr>
            <w:rStyle w:val="Hyperlink"/>
            <w:bCs/>
            <w:b/>
          </w:rPr>
          <w:t xml:space="preserve">R1</w:t>
        </w:r>
        <w:r>
          <w:rPr>
            <w:rStyle w:val="Hyperlink"/>
          </w:rPr>
          <w:t xml:space="preserve">. (Meta)data are richly described with a plurality of accurate and relevant attributes</w:t>
        </w:r>
      </w:hyperlink>
    </w:p>
    <w:p>
      <w:pPr>
        <w:numPr>
          <w:ilvl w:val="1"/>
          <w:numId w:val="1018"/>
        </w:numPr>
      </w:pPr>
      <w:hyperlink r:id="rId144">
        <w:r>
          <w:rPr>
            <w:rStyle w:val="Hyperlink"/>
            <w:bCs/>
            <w:b/>
          </w:rPr>
          <w:t xml:space="preserve">R1.1</w:t>
        </w:r>
        <w:r>
          <w:rPr>
            <w:rStyle w:val="Hyperlink"/>
          </w:rPr>
          <w:t xml:space="preserve">. (Meta)data are released with a clear and accessible data usage license</w:t>
        </w:r>
      </w:hyperlink>
    </w:p>
    <w:p>
      <w:pPr>
        <w:numPr>
          <w:ilvl w:val="1"/>
          <w:numId w:val="1018"/>
        </w:numPr>
      </w:pPr>
      <w:hyperlink r:id="rId145">
        <w:r>
          <w:rPr>
            <w:rStyle w:val="Hyperlink"/>
            <w:bCs/>
            <w:b/>
          </w:rPr>
          <w:t xml:space="preserve">R1.2</w:t>
        </w:r>
        <w:r>
          <w:rPr>
            <w:rStyle w:val="Hyperlink"/>
          </w:rPr>
          <w:t xml:space="preserve">. (Meta)data are associated with detailed provenance</w:t>
        </w:r>
      </w:hyperlink>
    </w:p>
    <w:p>
      <w:pPr>
        <w:numPr>
          <w:ilvl w:val="1"/>
          <w:numId w:val="1018"/>
        </w:numPr>
      </w:pPr>
      <w:hyperlink r:id="rId146">
        <w:r>
          <w:rPr>
            <w:rStyle w:val="Hyperlink"/>
            <w:bCs/>
            <w:b/>
          </w:rPr>
          <w:t xml:space="preserve">R1.3</w:t>
        </w:r>
        <w:r>
          <w:rPr>
            <w:rStyle w:val="Hyperlink"/>
          </w:rPr>
          <w:t xml:space="preserve">. (Meta)data meet domain-relevant community standards</w:t>
        </w:r>
      </w:hyperlink>
    </w:p>
    <w:bookmarkStart w:id="152" w:name="isidore"/>
    <w:p>
      <w:pPr>
        <w:pStyle w:val="Heading2"/>
      </w:pPr>
      <w:r>
        <w:t xml:space="preserve">Isidore</w:t>
      </w:r>
    </w:p>
    <w:p>
      <w:pPr>
        <w:pStyle w:val="CaptionedFigure"/>
      </w:pPr>
      <w:r>
        <w:drawing>
          <wp:inline>
            <wp:extent cx="5334000" cy="1537970"/>
            <wp:effectExtent b="0" l="0" r="0" t="0"/>
            <wp:docPr descr="ISIDORE" title="" id="148" name="Picture"/>
            <a:graphic>
              <a:graphicData uri="http://schemas.openxmlformats.org/drawingml/2006/picture">
                <pic:pic>
                  <pic:nvPicPr>
                    <pic:cNvPr descr="IMG/logo-isidore-grand.png" id="149" name="Picture"/>
                    <pic:cNvPicPr>
                      <a:picLocks noChangeArrowheads="1" noChangeAspect="1"/>
                    </pic:cNvPicPr>
                  </pic:nvPicPr>
                  <pic:blipFill>
                    <a:blip r:embed="rId147"/>
                    <a:stretch>
                      <a:fillRect/>
                    </a:stretch>
                  </pic:blipFill>
                  <pic:spPr bwMode="auto">
                    <a:xfrm>
                      <a:off x="0" y="0"/>
                      <a:ext cx="5334000" cy="1537970"/>
                    </a:xfrm>
                    <a:prstGeom prst="rect">
                      <a:avLst/>
                    </a:prstGeom>
                    <a:noFill/>
                    <a:ln w="9525">
                      <a:noFill/>
                      <a:headEnd/>
                      <a:tailEnd/>
                    </a:ln>
                  </pic:spPr>
                </pic:pic>
              </a:graphicData>
            </a:graphic>
          </wp:inline>
        </w:drawing>
      </w:r>
    </w:p>
    <w:p>
      <w:pPr>
        <w:pStyle w:val="ImageCaption"/>
      </w:pPr>
      <w:r>
        <w:t xml:space="preserve">ISIDORE</w:t>
      </w:r>
    </w:p>
    <w:p>
      <w:pPr>
        <w:numPr>
          <w:ilvl w:val="0"/>
          <w:numId w:val="1019"/>
        </w:numPr>
        <w:pStyle w:val="Compact"/>
      </w:pPr>
      <w:hyperlink r:id="rId150">
        <w:r>
          <w:rPr>
            <w:rStyle w:val="Hyperlink"/>
          </w:rPr>
          <w:t xml:space="preserve">https://isidore.science</w:t>
        </w:r>
      </w:hyperlink>
    </w:p>
    <w:bookmarkStart w:id="151" w:name="human-id"/>
    <w:p>
      <w:pPr>
        <w:pStyle w:val="Heading3"/>
      </w:pPr>
      <w:r>
        <w:t xml:space="preserve">Human-ID</w:t>
      </w:r>
    </w:p>
    <w:p>
      <w:pPr>
        <w:pStyle w:val="FirstParagraph"/>
      </w:pPr>
      <w:r>
        <w:t xml:space="preserve">Voir</w:t>
      </w:r>
      <w:r>
        <w:t xml:space="preserve"> </w:t>
      </w:r>
      <w:hyperlink w:anchor="sec-humanid">
        <w:r>
          <w:rPr>
            <w:rStyle w:val="Hyperlink"/>
          </w:rPr>
          <w:t xml:space="preserve">Section 7.4</w:t>
        </w:r>
      </w:hyperlink>
    </w:p>
    <w:bookmarkEnd w:id="151"/>
    <w:bookmarkEnd w:id="152"/>
    <w:bookmarkEnd w:id="153"/>
    <w:bookmarkStart w:id="157" w:name="présentation-des-services"/>
    <w:p>
      <w:pPr>
        <w:pStyle w:val="Heading1"/>
      </w:pPr>
      <w:r>
        <w:t xml:space="preserve">Présentation des services</w:t>
      </w:r>
    </w:p>
    <w:p>
      <w:pPr>
        <w:pStyle w:val="FirstParagraph"/>
      </w:pPr>
      <w:r>
        <w:drawing>
          <wp:inline>
            <wp:extent cx="5334000" cy="3334455"/>
            <wp:effectExtent b="0" l="0" r="0" t="0"/>
            <wp:docPr descr="" title="" id="155" name="Picture"/>
            <a:graphic>
              <a:graphicData uri="http://schemas.openxmlformats.org/drawingml/2006/picture">
                <pic:pic>
                  <pic:nvPicPr>
                    <pic:cNvPr descr="IMG/Schema-COMPLET-EN.png" id="156" name="Picture"/>
                    <pic:cNvPicPr>
                      <a:picLocks noChangeArrowheads="1" noChangeAspect="1"/>
                    </pic:cNvPicPr>
                  </pic:nvPicPr>
                  <pic:blipFill>
                    <a:blip r:embed="rId154"/>
                    <a:stretch>
                      <a:fillRect/>
                    </a:stretch>
                  </pic:blipFill>
                  <pic:spPr bwMode="auto">
                    <a:xfrm>
                      <a:off x="0" y="0"/>
                      <a:ext cx="5334000" cy="3334455"/>
                    </a:xfrm>
                    <a:prstGeom prst="rect">
                      <a:avLst/>
                    </a:prstGeom>
                    <a:noFill/>
                    <a:ln w="9525">
                      <a:noFill/>
                      <a:headEnd/>
                      <a:tailEnd/>
                    </a:ln>
                  </pic:spPr>
                </pic:pic>
              </a:graphicData>
            </a:graphic>
          </wp:inline>
        </w:drawing>
      </w:r>
    </w:p>
    <w:bookmarkEnd w:id="157"/>
    <w:bookmarkStart w:id="175" w:name="documentation-et-liens-utiles"/>
    <w:p>
      <w:pPr>
        <w:pStyle w:val="Heading1"/>
      </w:pPr>
      <w:r>
        <w:t xml:space="preserve">Documentation et liens utiles</w:t>
      </w:r>
    </w:p>
    <w:bookmarkStart w:id="163" w:name="culture-numérique-généralités"/>
    <w:p>
      <w:pPr>
        <w:pStyle w:val="Heading2"/>
      </w:pPr>
      <w:r>
        <w:t xml:space="preserve">Culture numérique (Généralités)</w:t>
      </w:r>
    </w:p>
    <w:p>
      <w:pPr>
        <w:numPr>
          <w:ilvl w:val="0"/>
          <w:numId w:val="1020"/>
        </w:numPr>
        <w:pStyle w:val="Compact"/>
      </w:pPr>
      <w:hyperlink r:id="rId158">
        <w:r>
          <w:rPr>
            <w:rStyle w:val="Hyperlink"/>
          </w:rPr>
          <w:t xml:space="preserve">Les cours d’Arthur Perret</w:t>
        </w:r>
      </w:hyperlink>
      <w:r>
        <w:t xml:space="preserve"> </w:t>
      </w:r>
      <w:r>
        <w:t xml:space="preserve">: plus particulièrement :</w:t>
      </w:r>
    </w:p>
    <w:p>
      <w:pPr>
        <w:numPr>
          <w:ilvl w:val="1"/>
          <w:numId w:val="1021"/>
        </w:numPr>
        <w:pStyle w:val="Compact"/>
      </w:pPr>
      <w:hyperlink r:id="rId159">
        <w:r>
          <w:rPr>
            <w:rStyle w:val="Hyperlink"/>
          </w:rPr>
          <w:t xml:space="preserve">Sérialisation de données</w:t>
        </w:r>
      </w:hyperlink>
    </w:p>
    <w:p>
      <w:pPr>
        <w:numPr>
          <w:ilvl w:val="1"/>
          <w:numId w:val="1021"/>
        </w:numPr>
        <w:pStyle w:val="Compact"/>
      </w:pPr>
      <w:hyperlink r:id="rId160">
        <w:r>
          <w:rPr>
            <w:rStyle w:val="Hyperlink"/>
          </w:rPr>
          <w:t xml:space="preserve">Ligne de commande</w:t>
        </w:r>
      </w:hyperlink>
    </w:p>
    <w:p>
      <w:pPr>
        <w:numPr>
          <w:ilvl w:val="1"/>
          <w:numId w:val="1021"/>
        </w:numPr>
        <w:pStyle w:val="Compact"/>
      </w:pPr>
      <w:hyperlink r:id="rId161">
        <w:r>
          <w:rPr>
            <w:rStyle w:val="Hyperlink"/>
          </w:rPr>
          <w:t xml:space="preserve">Introduction à la publication web</w:t>
        </w:r>
      </w:hyperlink>
    </w:p>
    <w:p>
      <w:pPr>
        <w:numPr>
          <w:ilvl w:val="0"/>
          <w:numId w:val="1020"/>
        </w:numPr>
        <w:pStyle w:val="Compact"/>
      </w:pPr>
      <w:r>
        <w:t xml:space="preserve">Débogue tes humanités :</w:t>
      </w:r>
      <w:r>
        <w:t xml:space="preserve"> </w:t>
      </w:r>
      <w:hyperlink r:id="rId162">
        <w:r>
          <w:rPr>
            <w:rStyle w:val="Hyperlink"/>
          </w:rPr>
          <w:t xml:space="preserve">https://debogue.ecrituresnumeriques.ca</w:t>
        </w:r>
      </w:hyperlink>
    </w:p>
    <w:bookmarkEnd w:id="163"/>
    <w:bookmarkStart w:id="168" w:name="X6be0cd6f4ccdf6590cd4b2c4b3e5b49cf5ac87b"/>
    <w:p>
      <w:pPr>
        <w:pStyle w:val="Heading2"/>
      </w:pPr>
      <w:r>
        <w:t xml:space="preserve">Documentation officielle des services</w:t>
      </w:r>
      <w:r>
        <w:t xml:space="preserve"> </w:t>
      </w:r>
      <w:r>
        <w:rPr>
          <w:iCs/>
          <w:i/>
        </w:rPr>
        <w:t xml:space="preserve">Huma-Num</w:t>
      </w:r>
    </w:p>
    <w:p>
      <w:pPr>
        <w:pStyle w:val="FirstParagraph"/>
      </w:pPr>
      <w:hyperlink r:id="rId164">
        <w:r>
          <w:rPr>
            <w:rStyle w:val="Hyperlink"/>
          </w:rPr>
          <w:t xml:space="preserve">https://documentation.huma-num.fr</w:t>
        </w:r>
      </w:hyperlink>
      <w:r>
        <w:t xml:space="preserve"> </w:t>
      </w:r>
      <w:r>
        <w:t xml:space="preserve">(Huma-Num, 2024)</w:t>
      </w:r>
    </w:p>
    <w:p>
      <w:pPr>
        <w:pStyle w:val="CaptionedFigure"/>
      </w:pPr>
      <w:r>
        <w:drawing>
          <wp:inline>
            <wp:extent cx="5334000" cy="4641272"/>
            <wp:effectExtent b="0" l="0" r="0" t="0"/>
            <wp:docPr descr="Documentation officielle de l’infrastructure et des services Huma-Num (éditée et publiée avec MkDocs)" title="" id="166" name="Picture"/>
            <a:graphic>
              <a:graphicData uri="http://schemas.openxmlformats.org/drawingml/2006/picture">
                <pic:pic>
                  <pic:nvPicPr>
                    <pic:cNvPr descr="IMG/DocHumaNum.png" id="167" name="Picture"/>
                    <pic:cNvPicPr>
                      <a:picLocks noChangeArrowheads="1" noChangeAspect="1"/>
                    </pic:cNvPicPr>
                  </pic:nvPicPr>
                  <pic:blipFill>
                    <a:blip r:embed="rId165"/>
                    <a:stretch>
                      <a:fillRect/>
                    </a:stretch>
                  </pic:blipFill>
                  <pic:spPr bwMode="auto">
                    <a:xfrm>
                      <a:off x="0" y="0"/>
                      <a:ext cx="5334000" cy="4641272"/>
                    </a:xfrm>
                    <a:prstGeom prst="rect">
                      <a:avLst/>
                    </a:prstGeom>
                    <a:noFill/>
                    <a:ln w="9525">
                      <a:noFill/>
                      <a:headEnd/>
                      <a:tailEnd/>
                    </a:ln>
                  </pic:spPr>
                </pic:pic>
              </a:graphicData>
            </a:graphic>
          </wp:inline>
        </w:drawing>
      </w:r>
    </w:p>
    <w:p>
      <w:pPr>
        <w:pStyle w:val="ImageCaption"/>
      </w:pPr>
      <w:r>
        <w:t xml:space="preserve">Documentation officielle de l’infrastructure et des services</w:t>
      </w:r>
      <w:r>
        <w:t xml:space="preserve"> </w:t>
      </w:r>
      <w:r>
        <w:rPr>
          <w:iCs/>
          <w:i/>
        </w:rPr>
        <w:t xml:space="preserve">Huma-Num</w:t>
      </w:r>
      <w:r>
        <w:t xml:space="preserve"> </w:t>
      </w:r>
      <w:r>
        <w:t xml:space="preserve">(éditée et publiée avec</w:t>
      </w:r>
      <w:r>
        <w:t xml:space="preserve"> </w:t>
      </w:r>
      <w:r>
        <w:rPr>
          <w:iCs/>
          <w:i/>
        </w:rPr>
        <w:t xml:space="preserve">MkDocs</w:t>
      </w:r>
      <w:r>
        <w:t xml:space="preserve">)</w:t>
      </w:r>
    </w:p>
    <w:bookmarkEnd w:id="168"/>
    <w:bookmarkStart w:id="171" w:name="liens-utiles"/>
    <w:p>
      <w:pPr>
        <w:pStyle w:val="Heading2"/>
      </w:pPr>
      <w:r>
        <w:t xml:space="preserve">Liens utiles</w:t>
      </w:r>
    </w:p>
    <w:bookmarkStart w:id="170" w:name="collection-zenodo-du-huma-num-lab"/>
    <w:p>
      <w:pPr>
        <w:pStyle w:val="Heading3"/>
      </w:pPr>
      <w:r>
        <w:t xml:space="preserve">Collection Zenodo du Huma-Num Lab</w:t>
      </w:r>
    </w:p>
    <w:p>
      <w:pPr>
        <w:pStyle w:val="FirstParagraph"/>
      </w:pPr>
      <w:hyperlink r:id="rId169">
        <w:r>
          <w:rPr>
            <w:rStyle w:val="Hyperlink"/>
          </w:rPr>
          <w:t xml:space="preserve">https://zenodo.org/communities/hn_lab</w:t>
        </w:r>
      </w:hyperlink>
      <w:r>
        <w:t xml:space="preserve"> </w:t>
      </w:r>
      <w:r>
        <w:t xml:space="preserve">(Huma-Num Lab, 2024)</w:t>
      </w:r>
    </w:p>
    <w:bookmarkEnd w:id="170"/>
    <w:bookmarkEnd w:id="171"/>
    <w:bookmarkStart w:id="174" w:name="sec-humanid"/>
    <w:p>
      <w:pPr>
        <w:pStyle w:val="Heading2"/>
      </w:pPr>
      <w:r>
        <w:t xml:space="preserve">Human-ID</w:t>
      </w:r>
    </w:p>
    <w:p>
      <w:pPr>
        <w:pStyle w:val="FirstParagraph"/>
      </w:pPr>
      <w:hyperlink r:id="rId172">
        <w:r>
          <w:rPr>
            <w:rStyle w:val="Hyperlink"/>
          </w:rPr>
          <w:t xml:space="preserve">https://humanid.huma-num.fr</w:t>
        </w:r>
      </w:hyperlink>
    </w:p>
    <w:p>
      <w:pPr>
        <w:numPr>
          <w:ilvl w:val="0"/>
          <w:numId w:val="1022"/>
        </w:numPr>
      </w:pPr>
      <w:r>
        <w:t xml:space="preserve">Pour une utilisation personnalisée et avancée d’</w:t>
      </w:r>
      <w:hyperlink r:id="rId150">
        <w:r>
          <w:rPr>
            <w:rStyle w:val="Hyperlink"/>
          </w:rPr>
          <w:t xml:space="preserve">ISIDORE</w:t>
        </w:r>
      </w:hyperlink>
      <w:r>
        <w:t xml:space="preserve">.</w:t>
      </w:r>
    </w:p>
    <w:p>
      <w:pPr>
        <w:numPr>
          <w:ilvl w:val="0"/>
          <w:numId w:val="1022"/>
        </w:numPr>
      </w:pPr>
      <w:r>
        <w:t xml:space="preserve">Pour écrire des articles scientifiques avec</w:t>
      </w:r>
      <w:r>
        <w:t xml:space="preserve"> </w:t>
      </w:r>
      <w:hyperlink r:id="rId173">
        <w:r>
          <w:rPr>
            <w:rStyle w:val="Hyperlink"/>
          </w:rPr>
          <w:t xml:space="preserve">Stylo</w:t>
        </w:r>
      </w:hyperlink>
      <w:r>
        <w:t xml:space="preserve">.</w:t>
      </w:r>
    </w:p>
    <w:p>
      <w:pPr>
        <w:numPr>
          <w:ilvl w:val="0"/>
          <w:numId w:val="1022"/>
        </w:numPr>
      </w:pPr>
      <w:r>
        <w:rPr>
          <w:iCs/>
          <w:i/>
        </w:rPr>
        <w:t xml:space="preserve">Pour demander un accès aux autres services numériques proposés par</w:t>
      </w:r>
      <w:r>
        <w:t xml:space="preserve"> </w:t>
      </w:r>
      <w:r>
        <w:t xml:space="preserve">Huma-Num.</w:t>
      </w:r>
    </w:p>
    <w:bookmarkEnd w:id="174"/>
    <w:bookmarkEnd w:id="175"/>
    <w:bookmarkStart w:id="193" w:name="references-bibliographiques"/>
    <w:p>
      <w:pPr>
        <w:pStyle w:val="Heading1"/>
      </w:pPr>
      <w:r>
        <w:t xml:space="preserve">References bibliographiques</w:t>
      </w:r>
    </w:p>
    <w:bookmarkStart w:id="192" w:name="refs"/>
    <w:bookmarkStart w:id="177" w:name="ref-arianeCollectionHALConsortiumHN2024"/>
    <w:p>
      <w:pPr>
        <w:pStyle w:val="Bibliography"/>
      </w:pPr>
      <w:r>
        <w:rPr>
          <w:smallCaps/>
        </w:rPr>
        <w:t xml:space="preserve">ARIANE</w:t>
      </w:r>
      <w:r>
        <w:t xml:space="preserve">.</w:t>
      </w:r>
      <w:r>
        <w:t xml:space="preserve"> </w:t>
      </w:r>
      <w:r>
        <w:rPr>
          <w:iCs/>
          <w:i/>
        </w:rPr>
        <w:t xml:space="preserve">Collection HAL du Consortium-HN ARIANE</w:t>
      </w:r>
      <w:r>
        <w:t xml:space="preserve">. 2024. En ligne :</w:t>
      </w:r>
      <w:r>
        <w:t xml:space="preserve"> </w:t>
      </w:r>
      <w:hyperlink r:id="rId176">
        <w:r>
          <w:rPr>
            <w:rStyle w:val="Hyperlink"/>
          </w:rPr>
          <w:t xml:space="preserve">https://theses.hal.science/CONSORTIUM-HN-ARIANE/</w:t>
        </w:r>
      </w:hyperlink>
      <w:r>
        <w:t xml:space="preserve"> </w:t>
      </w:r>
      <w:r>
        <w:t xml:space="preserve">[consulté le 17 novembre 2024].</w:t>
      </w:r>
    </w:p>
    <w:bookmarkEnd w:id="177"/>
    <w:bookmarkStart w:id="179" w:name="Xc3c575459bc3380fa96eb149886f6730cf61a00"/>
    <w:p>
      <w:pPr>
        <w:pStyle w:val="Bibliography"/>
      </w:pPr>
      <w:r>
        <w:rPr>
          <w:smallCaps/>
        </w:rPr>
        <w:t xml:space="preserve">Consortium Cahier</w:t>
      </w:r>
      <w:r>
        <w:t xml:space="preserve">.</w:t>
      </w:r>
      <w:r>
        <w:t xml:space="preserve"> </w:t>
      </w:r>
      <w:r>
        <w:t xml:space="preserve">« Corpus d’auteurs pour les humanités : informatication, édition, recherche »</w:t>
      </w:r>
      <w:r>
        <w:t xml:space="preserve">. 2022. En ligne :</w:t>
      </w:r>
      <w:r>
        <w:t xml:space="preserve"> </w:t>
      </w:r>
      <w:hyperlink r:id="rId178">
        <w:r>
          <w:rPr>
            <w:rStyle w:val="Hyperlink"/>
          </w:rPr>
          <w:t xml:space="preserve">https://cahier.hypotheses.org/</w:t>
        </w:r>
      </w:hyperlink>
      <w:r>
        <w:t xml:space="preserve"> </w:t>
      </w:r>
      <w:r>
        <w:t xml:space="preserve">[consulté le 19 novembre 2024].</w:t>
      </w:r>
    </w:p>
    <w:bookmarkEnd w:id="179"/>
    <w:bookmarkStart w:id="181" w:name="ref-distamCarnetHypothesesConsortium2024"/>
    <w:p>
      <w:pPr>
        <w:pStyle w:val="Bibliography"/>
      </w:pPr>
      <w:r>
        <w:rPr>
          <w:smallCaps/>
        </w:rPr>
        <w:t xml:space="preserve">DISTAM</w:t>
      </w:r>
      <w:r>
        <w:t xml:space="preserve">.</w:t>
      </w:r>
      <w:r>
        <w:t xml:space="preserve"> </w:t>
      </w:r>
      <w:r>
        <w:t xml:space="preserve">« Carnet hypothèses du consortium Huma-Num DISTAM (DIgital STudies Africa, Asia, Middle East) – Agora numériques des études aréales – Afrique, Asie, Moyen-Orient et Mondes musulmans »</w:t>
      </w:r>
      <w:r>
        <w:t xml:space="preserve">. 2024. En ligne :</w:t>
      </w:r>
      <w:r>
        <w:t xml:space="preserve"> </w:t>
      </w:r>
      <w:hyperlink r:id="rId180">
        <w:r>
          <w:rPr>
            <w:rStyle w:val="Hyperlink"/>
          </w:rPr>
          <w:t xml:space="preserve">https://distam.hypotheses.org/</w:t>
        </w:r>
      </w:hyperlink>
      <w:r>
        <w:t xml:space="preserve"> </w:t>
      </w:r>
      <w:r>
        <w:t xml:space="preserve">[consulté le 20 novembre 2024].</w:t>
      </w:r>
    </w:p>
    <w:bookmarkEnd w:id="181"/>
    <w:bookmarkStart w:id="183" w:name="Xc9a9970e64ac3e008e4181b50c1a7b91800a75e"/>
    <w:p>
      <w:pPr>
        <w:pStyle w:val="Bibliography"/>
      </w:pPr>
      <w:r>
        <w:rPr>
          <w:smallCaps/>
        </w:rPr>
        <w:t xml:space="preserve">Groupe de travail Data_Cahier</w:t>
      </w:r>
      <w:r>
        <w:t xml:space="preserve">, Fatiha</w:t>
      </w:r>
      <w:r>
        <w:t xml:space="preserve"> </w:t>
      </w:r>
      <w:r>
        <w:rPr>
          <w:smallCaps/>
        </w:rPr>
        <w:t xml:space="preserve">Idmhand</w:t>
      </w:r>
      <w:r>
        <w:t xml:space="preserve">, et Ioana</w:t>
      </w:r>
      <w:r>
        <w:t xml:space="preserve"> </w:t>
      </w:r>
      <w:r>
        <w:rPr>
          <w:smallCaps/>
        </w:rPr>
        <w:t xml:space="preserve">Galleron</w:t>
      </w:r>
      <w:r>
        <w:t xml:space="preserve">.</w:t>
      </w:r>
      <w:r>
        <w:t xml:space="preserve"> </w:t>
      </w:r>
      <w:r>
        <w:rPr>
          <w:iCs/>
          <w:i/>
        </w:rPr>
        <w:t xml:space="preserve">Guide pour la FAIRisation des données des corpus d’auteurs</w:t>
      </w:r>
      <w:r>
        <w:t xml:space="preserve">. Huma-Num. 2020. En ligne :</w:t>
      </w:r>
      <w:r>
        <w:t xml:space="preserve"> </w:t>
      </w:r>
      <w:hyperlink r:id="rId182">
        <w:r>
          <w:rPr>
            <w:rStyle w:val="Hyperlink"/>
          </w:rPr>
          <w:t xml:space="preserve">https://shs.hal.science/halshs-03037748</w:t>
        </w:r>
      </w:hyperlink>
      <w:r>
        <w:t xml:space="preserve"> </w:t>
      </w:r>
      <w:r>
        <w:t xml:space="preserve">[consulté le 20 novembre 2024].</w:t>
      </w:r>
    </w:p>
    <w:bookmarkEnd w:id="183"/>
    <w:bookmarkStart w:id="184" w:name="ref-hausenblasOpenData52012"/>
    <w:p>
      <w:pPr>
        <w:pStyle w:val="Bibliography"/>
      </w:pPr>
      <w:r>
        <w:rPr>
          <w:smallCaps/>
        </w:rPr>
        <w:t xml:space="preserve">Hausenblas</w:t>
      </w:r>
      <w:r>
        <w:t xml:space="preserve">, Michael.</w:t>
      </w:r>
      <w:r>
        <w:t xml:space="preserve"> </w:t>
      </w:r>
      <w:r>
        <w:rPr>
          <w:iCs/>
          <w:i/>
        </w:rPr>
        <w:t xml:space="preserve">Open Data 5 étoiles</w:t>
      </w:r>
      <w:r>
        <w:t xml:space="preserve">. 2012. En ligne :</w:t>
      </w:r>
      <w:r>
        <w:t xml:space="preserve"> </w:t>
      </w:r>
      <w:hyperlink r:id="rId122">
        <w:r>
          <w:rPr>
            <w:rStyle w:val="Hyperlink"/>
          </w:rPr>
          <w:t xml:space="preserve">http://5stardata.info/fr/</w:t>
        </w:r>
      </w:hyperlink>
      <w:r>
        <w:t xml:space="preserve"> </w:t>
      </w:r>
      <w:r>
        <w:t xml:space="preserve">[consulté le 17 novembre 2024].</w:t>
      </w:r>
    </w:p>
    <w:bookmarkEnd w:id="184"/>
    <w:bookmarkStart w:id="186" w:name="ref-huma-numDocumentationLIRHumaNum2024"/>
    <w:p>
      <w:pPr>
        <w:pStyle w:val="Bibliography"/>
      </w:pPr>
      <w:r>
        <w:rPr>
          <w:smallCaps/>
        </w:rPr>
        <w:t xml:space="preserve">Huma-Num</w:t>
      </w:r>
      <w:r>
        <w:t xml:space="preserve">.</w:t>
      </w:r>
      <w:r>
        <w:t xml:space="preserve"> </w:t>
      </w:r>
      <w:r>
        <w:rPr>
          <w:iCs/>
          <w:i/>
        </w:rPr>
        <w:t xml:space="preserve">Documentation de l’IR* Huma-Num</w:t>
      </w:r>
      <w:r>
        <w:t xml:space="preserve">. 2024. En ligne :</w:t>
      </w:r>
      <w:r>
        <w:t xml:space="preserve"> </w:t>
      </w:r>
      <w:hyperlink r:id="rId185">
        <w:r>
          <w:rPr>
            <w:rStyle w:val="Hyperlink"/>
          </w:rPr>
          <w:t xml:space="preserve">https://documentation.huma-num.fr/</w:t>
        </w:r>
      </w:hyperlink>
      <w:r>
        <w:t xml:space="preserve"> </w:t>
      </w:r>
      <w:r>
        <w:t xml:space="preserve">[consulté le 17 novembre 2024].</w:t>
      </w:r>
    </w:p>
    <w:bookmarkEnd w:id="186"/>
    <w:bookmarkStart w:id="187" w:name="ref-huma-numQuestceQueLIR2023"/>
    <w:p>
      <w:pPr>
        <w:pStyle w:val="Bibliography"/>
      </w:pPr>
      <w:r>
        <w:rPr>
          <w:smallCaps/>
        </w:rPr>
        <w:t xml:space="preserve">Huma-Num</w:t>
      </w:r>
      <w:r>
        <w:t xml:space="preserve">.</w:t>
      </w:r>
      <w:r>
        <w:t xml:space="preserve"> </w:t>
      </w:r>
      <w:r>
        <w:t xml:space="preserve">« Qu’est-ce que l’IR* Huma-Num ? »</w:t>
      </w:r>
      <w:r>
        <w:t xml:space="preserve"> 2023. En ligne :</w:t>
      </w:r>
      <w:r>
        <w:t xml:space="preserve"> </w:t>
      </w:r>
      <w:hyperlink r:id="rId61">
        <w:r>
          <w:rPr>
            <w:rStyle w:val="Hyperlink"/>
          </w:rPr>
          <w:t xml:space="preserve">https://www.huma-num.fr/quest-ce-que-l-ir-huma-num/</w:t>
        </w:r>
      </w:hyperlink>
      <w:r>
        <w:t xml:space="preserve"> </w:t>
      </w:r>
      <w:r>
        <w:t xml:space="preserve">[consulté le 16 novembre 2024].</w:t>
      </w:r>
    </w:p>
    <w:bookmarkEnd w:id="187"/>
    <w:bookmarkStart w:id="189" w:name="ref-huma-numlabCollectionHNLab2024"/>
    <w:p>
      <w:pPr>
        <w:pStyle w:val="Bibliography"/>
      </w:pPr>
      <w:r>
        <w:rPr>
          <w:smallCaps/>
        </w:rPr>
        <w:t xml:space="preserve">Huma-Num Lab</w:t>
      </w:r>
      <w:r>
        <w:t xml:space="preserve">.</w:t>
      </w:r>
      <w:r>
        <w:t xml:space="preserve"> </w:t>
      </w:r>
      <w:r>
        <w:rPr>
          <w:iCs/>
          <w:i/>
        </w:rPr>
        <w:t xml:space="preserve">Collection HN Lab</w:t>
      </w:r>
      <w:r>
        <w:t xml:space="preserve">. 2024. En ligne :</w:t>
      </w:r>
      <w:r>
        <w:t xml:space="preserve"> </w:t>
      </w:r>
      <w:hyperlink r:id="rId188">
        <w:r>
          <w:rPr>
            <w:rStyle w:val="Hyperlink"/>
          </w:rPr>
          <w:t xml:space="preserve">https://zenodo.org/communities/hn_lab/</w:t>
        </w:r>
      </w:hyperlink>
      <w:r>
        <w:t xml:space="preserve"> </w:t>
      </w:r>
      <w:r>
        <w:t xml:space="preserve">[consulté le 17 novembre 2024].</w:t>
      </w:r>
    </w:p>
    <w:bookmarkEnd w:id="189"/>
    <w:bookmarkStart w:id="191" w:name="ref-wilkinsonFAIRGuidingPrinciples2016b"/>
    <w:p>
      <w:pPr>
        <w:pStyle w:val="Bibliography"/>
      </w:pPr>
      <w:r>
        <w:rPr>
          <w:smallCaps/>
        </w:rPr>
        <w:t xml:space="preserve">Wilkinson</w:t>
      </w:r>
      <w:r>
        <w:t xml:space="preserve">, Mark D., Michel</w:t>
      </w:r>
      <w:r>
        <w:t xml:space="preserve"> </w:t>
      </w:r>
      <w:r>
        <w:rPr>
          <w:smallCaps/>
        </w:rPr>
        <w:t xml:space="preserve">Dumontier</w:t>
      </w:r>
      <w:r>
        <w:t xml:space="preserve">, IJsbrand Jan</w:t>
      </w:r>
      <w:r>
        <w:t xml:space="preserve"> </w:t>
      </w:r>
      <w:r>
        <w:rPr>
          <w:smallCaps/>
        </w:rPr>
        <w:t xml:space="preserve">Aalbersberg</w:t>
      </w:r>
      <w:r>
        <w:t xml:space="preserve">, et al.</w:t>
      </w:r>
      <w:r>
        <w:t xml:space="preserve"> </w:t>
      </w:r>
      <w:r>
        <w:t xml:space="preserve">« The FAIR Guiding Principles for scientific data management and stewardship »</w:t>
      </w:r>
      <w:r>
        <w:t xml:space="preserve">,</w:t>
      </w:r>
      <w:r>
        <w:t xml:space="preserve"> </w:t>
      </w:r>
      <w:r>
        <w:rPr>
          <w:iCs/>
          <w:i/>
        </w:rPr>
        <w:t xml:space="preserve">Scientific Data</w:t>
      </w:r>
      <w:r>
        <w:t xml:space="preserve">. 15 mars 2016, vol.3 nᵒ 1. p. 160018. En ligne :</w:t>
      </w:r>
      <w:r>
        <w:t xml:space="preserve"> </w:t>
      </w:r>
      <w:hyperlink r:id="rId190">
        <w:r>
          <w:rPr>
            <w:rStyle w:val="Hyperlink"/>
          </w:rPr>
          <w:t xml:space="preserve">https://www.nature.com/articles/sdata201618</w:t>
        </w:r>
      </w:hyperlink>
      <w:r>
        <w:t xml:space="preserve"> </w:t>
      </w:r>
      <w:r>
        <w:t xml:space="preserve">[consulté le 17 novembre 2024].</w:t>
      </w:r>
    </w:p>
    <w:bookmarkEnd w:id="191"/>
    <w:bookmarkEnd w:id="192"/>
    <w:bookmarkEnd w:id="19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86" Target="media/rId86.png" /><Relationship Type="http://schemas.openxmlformats.org/officeDocument/2006/relationships/image" Id="rId165" Target="media/rId165.png" /><Relationship Type="http://schemas.openxmlformats.org/officeDocument/2006/relationships/image" Id="rId126" Target="media/rId126.png" /><Relationship Type="http://schemas.openxmlformats.org/officeDocument/2006/relationships/image" Id="rId20" Target="media/rId20.jpg" /><Relationship Type="http://schemas.openxmlformats.org/officeDocument/2006/relationships/image" Id="rId44" Target="media/rId44.png" /><Relationship Type="http://schemas.openxmlformats.org/officeDocument/2006/relationships/image" Id="rId101" Target="media/rId101.png" /><Relationship Type="http://schemas.openxmlformats.org/officeDocument/2006/relationships/image" Id="rId32" Target="media/rId32.jpg" /><Relationship Type="http://schemas.openxmlformats.org/officeDocument/2006/relationships/image" Id="rId50" Target="media/rId50.png" /><Relationship Type="http://schemas.openxmlformats.org/officeDocument/2006/relationships/image" Id="rId29" Target="media/rId29.jpg" /><Relationship Type="http://schemas.openxmlformats.org/officeDocument/2006/relationships/image" Id="rId154" Target="media/rId154.png" /><Relationship Type="http://schemas.openxmlformats.org/officeDocument/2006/relationships/image" Id="rId25" Target="media/rId25.jpg" /><Relationship Type="http://schemas.openxmlformats.org/officeDocument/2006/relationships/image" Id="rId104" Target="media/rId104.jpg" /><Relationship Type="http://schemas.openxmlformats.org/officeDocument/2006/relationships/image" Id="rId35" Target="media/rId35.png" /><Relationship Type="http://schemas.openxmlformats.org/officeDocument/2006/relationships/image" Id="rId53" Target="media/rId53.png" /><Relationship Type="http://schemas.openxmlformats.org/officeDocument/2006/relationships/image" Id="rId38" Target="media/rId38.png" /><Relationship Type="http://schemas.openxmlformats.org/officeDocument/2006/relationships/image" Id="rId107" Target="media/rId107.png" /><Relationship Type="http://schemas.openxmlformats.org/officeDocument/2006/relationships/image" Id="rId47" Target="media/rId47.png" /><Relationship Type="http://schemas.openxmlformats.org/officeDocument/2006/relationships/image" Id="rId147" Target="media/rId147.png" /><Relationship Type="http://schemas.openxmlformats.org/officeDocument/2006/relationships/image" Id="rId56" Target="media/rId56.png" /><Relationship Type="http://schemas.openxmlformats.org/officeDocument/2006/relationships/image" Id="rId41" Target="media/rId41.png" /><Relationship Type="http://schemas.openxmlformats.org/officeDocument/2006/relationships/image" Id="rId62" Target="media/rId62.png" /><Relationship Type="http://schemas.openxmlformats.org/officeDocument/2006/relationships/hyperlink" Id="rId122" Target="http://5stardata.info/fr/" TargetMode="External" /><Relationship Type="http://schemas.openxmlformats.org/officeDocument/2006/relationships/hyperlink" Id="rId178" Target="https://cahier.hypotheses.org/" TargetMode="External" /><Relationship Type="http://schemas.openxmlformats.org/officeDocument/2006/relationships/hyperlink" Id="rId162" Target="https://debogue.ecrituresnumeriques.ca" TargetMode="External" /><Relationship Type="http://schemas.openxmlformats.org/officeDocument/2006/relationships/hyperlink" Id="rId180" Target="https://distam.hypotheses.org/" TargetMode="External" /><Relationship Type="http://schemas.openxmlformats.org/officeDocument/2006/relationships/hyperlink" Id="rId164" Target="https://documentation.huma-num.fr" TargetMode="External" /><Relationship Type="http://schemas.openxmlformats.org/officeDocument/2006/relationships/hyperlink" Id="rId185" Target="https://documentation.huma-num.fr/" TargetMode="External" /><Relationship Type="http://schemas.openxmlformats.org/officeDocument/2006/relationships/hyperlink" Id="rId89" Target="https://groupes.renater.fr/sympa/info/dh" TargetMode="External" /><Relationship Type="http://schemas.openxmlformats.org/officeDocument/2006/relationships/hyperlink" Id="rId172" Target="https://humanid.huma-num.fr" TargetMode="External" /><Relationship Type="http://schemas.openxmlformats.org/officeDocument/2006/relationships/hyperlink" Id="rId150" Target="https://isidore.science" TargetMode="External" /><Relationship Type="http://schemas.openxmlformats.org/officeDocument/2006/relationships/hyperlink" Id="rId59" Target="https://quarto.org/" TargetMode="External" /><Relationship Type="http://schemas.openxmlformats.org/officeDocument/2006/relationships/hyperlink" Id="rId182" Target="https://shs.hal.science/halshs-03037748" TargetMode="External" /><Relationship Type="http://schemas.openxmlformats.org/officeDocument/2006/relationships/hyperlink" Id="rId173" Target="https://stylo.huma-num.fr" TargetMode="External" /><Relationship Type="http://schemas.openxmlformats.org/officeDocument/2006/relationships/hyperlink" Id="rId176" Target="https://theses.hal.science/CONSORTIUM-HN-ARIANE/" TargetMode="External" /><Relationship Type="http://schemas.openxmlformats.org/officeDocument/2006/relationships/hyperlink" Id="rId158" Target="https://www.arthurperret.fr/cours/" TargetMode="External" /><Relationship Type="http://schemas.openxmlformats.org/officeDocument/2006/relationships/hyperlink" Id="rId160" Target="https://www.arthurperret.fr/cours/ligne-de-commande.html" TargetMode="External" /><Relationship Type="http://schemas.openxmlformats.org/officeDocument/2006/relationships/hyperlink" Id="rId161" Target="https://www.arthurperret.fr/cours/publication-web.html" TargetMode="External" /><Relationship Type="http://schemas.openxmlformats.org/officeDocument/2006/relationships/hyperlink" Id="rId159" Target="https://www.arthurperret.fr/cours/serialisation.html" TargetMode="External" /><Relationship Type="http://schemas.openxmlformats.org/officeDocument/2006/relationships/hyperlink" Id="rId125" Target="https://www.go-fair.org/fair-principles/" TargetMode="External" /><Relationship Type="http://schemas.openxmlformats.org/officeDocument/2006/relationships/hyperlink" Id="rId136" Target="https://www.go-fair.org/fair-principles/542-2/" TargetMode="External" /><Relationship Type="http://schemas.openxmlformats.org/officeDocument/2006/relationships/hyperlink" Id="rId137" Target="https://www.go-fair.org/fair-principles/a1-1-protocol-open-free-universally-implementable/" TargetMode="External" /><Relationship Type="http://schemas.openxmlformats.org/officeDocument/2006/relationships/hyperlink" Id="rId138" Target="https://www.go-fair.org/fair-principles/a1-2-protocol-allows-authentication-authorisation-required/" TargetMode="External" /><Relationship Type="http://schemas.openxmlformats.org/officeDocument/2006/relationships/hyperlink" Id="rId139" Target="https://www.go-fair.org/fair-principles/a2-metadata-accessible-even-data-no-longer-available/" TargetMode="External" /><Relationship Type="http://schemas.openxmlformats.org/officeDocument/2006/relationships/hyperlink" Id="rId135" Target="https://www.go-fair.org/fair-principles/f3-metadata-clearly-explicitly-include-identifier-data-describe/" TargetMode="External" /><Relationship Type="http://schemas.openxmlformats.org/officeDocument/2006/relationships/hyperlink" Id="rId129" Target="https://www.go-fair.org/fair-principles/f4-metadata-registered-indexed-searchable-resource/" TargetMode="External" /><Relationship Type="http://schemas.openxmlformats.org/officeDocument/2006/relationships/hyperlink" Id="rId133" Target="https://www.go-fair.org/fair-principles/fair-data-principles-explained/f1-meta-data-assigned-globally-unique-persistent-identifiers/" TargetMode="External" /><Relationship Type="http://schemas.openxmlformats.org/officeDocument/2006/relationships/hyperlink" Id="rId134" Target="https://www.go-fair.org/fair-principles/fair-data-principles-explained/f2-data-described-rich-metadata/" TargetMode="External" /><Relationship Type="http://schemas.openxmlformats.org/officeDocument/2006/relationships/hyperlink" Id="rId132" Target="https://www.go-fair.org/fair-principles/fairification-process/" TargetMode="External" /><Relationship Type="http://schemas.openxmlformats.org/officeDocument/2006/relationships/hyperlink" Id="rId140" Target="https://www.go-fair.org/fair-principles/i1-metadata-use-formal-accessible-shared-broadly-applicable-language-knowledge-representation/" TargetMode="External" /><Relationship Type="http://schemas.openxmlformats.org/officeDocument/2006/relationships/hyperlink" Id="rId141" Target="https://www.go-fair.org/fair-principles/i2-metadata-use-vocabularies-follow-fair-principles/" TargetMode="External" /><Relationship Type="http://schemas.openxmlformats.org/officeDocument/2006/relationships/hyperlink" Id="rId142" Target="https://www.go-fair.org/fair-principles/i3-metadata-include-qualified-references-metadata/" TargetMode="External" /><Relationship Type="http://schemas.openxmlformats.org/officeDocument/2006/relationships/hyperlink" Id="rId144" Target="https://www.go-fair.org/fair-principles/r1-1-metadata-released-clear-accessible-data-usage-license/" TargetMode="External" /><Relationship Type="http://schemas.openxmlformats.org/officeDocument/2006/relationships/hyperlink" Id="rId145" Target="https://www.go-fair.org/fair-principles/r1-2-metadata-associated-detailed-provenance/" TargetMode="External" /><Relationship Type="http://schemas.openxmlformats.org/officeDocument/2006/relationships/hyperlink" Id="rId146" Target="https://www.go-fair.org/fair-principles/r1-3-metadata-meet-domain-relevant-community-standards/" TargetMode="External" /><Relationship Type="http://schemas.openxmlformats.org/officeDocument/2006/relationships/hyperlink" Id="rId143" Target="https://www.go-fair.org/fair-principles/r1-metadata-richly-described-plurality-accurate-relevant-attributes/" TargetMode="External" /><Relationship Type="http://schemas.openxmlformats.org/officeDocument/2006/relationships/hyperlink" Id="rId61" Target="https://www.huma-num.fr/quest-ce-que-l-ir-huma-num/" TargetMode="External" /><Relationship Type="http://schemas.openxmlformats.org/officeDocument/2006/relationships/hyperlink" Id="rId190" Target="https://www.nature.com/articles/sdata201618" TargetMode="External" /><Relationship Type="http://schemas.openxmlformats.org/officeDocument/2006/relationships/hyperlink" Id="rId169" Target="https://zenodo.org/communities/hn_lab" TargetMode="External" /><Relationship Type="http://schemas.openxmlformats.org/officeDocument/2006/relationships/hyperlink" Id="rId188" Target="https://zenodo.org/communities/hn_lab/" TargetMode="External" /></Relationships>
</file>

<file path=word/_rels/footnotes.xml.rels><?xml version="1.0" encoding="UTF-8"?><Relationships xmlns="http://schemas.openxmlformats.org/package/2006/relationships"><Relationship Type="http://schemas.openxmlformats.org/officeDocument/2006/relationships/hyperlink" Id="rId122" Target="http://5stardata.info/fr/" TargetMode="External" /><Relationship Type="http://schemas.openxmlformats.org/officeDocument/2006/relationships/hyperlink" Id="rId178" Target="https://cahier.hypotheses.org/" TargetMode="External" /><Relationship Type="http://schemas.openxmlformats.org/officeDocument/2006/relationships/hyperlink" Id="rId162" Target="https://debogue.ecrituresnumeriques.ca" TargetMode="External" /><Relationship Type="http://schemas.openxmlformats.org/officeDocument/2006/relationships/hyperlink" Id="rId180" Target="https://distam.hypotheses.org/" TargetMode="External" /><Relationship Type="http://schemas.openxmlformats.org/officeDocument/2006/relationships/hyperlink" Id="rId164" Target="https://documentation.huma-num.fr" TargetMode="External" /><Relationship Type="http://schemas.openxmlformats.org/officeDocument/2006/relationships/hyperlink" Id="rId185" Target="https://documentation.huma-num.fr/" TargetMode="External" /><Relationship Type="http://schemas.openxmlformats.org/officeDocument/2006/relationships/hyperlink" Id="rId89" Target="https://groupes.renater.fr/sympa/info/dh" TargetMode="External" /><Relationship Type="http://schemas.openxmlformats.org/officeDocument/2006/relationships/hyperlink" Id="rId172" Target="https://humanid.huma-num.fr" TargetMode="External" /><Relationship Type="http://schemas.openxmlformats.org/officeDocument/2006/relationships/hyperlink" Id="rId150" Target="https://isidore.science" TargetMode="External" /><Relationship Type="http://schemas.openxmlformats.org/officeDocument/2006/relationships/hyperlink" Id="rId59" Target="https://quarto.org/" TargetMode="External" /><Relationship Type="http://schemas.openxmlformats.org/officeDocument/2006/relationships/hyperlink" Id="rId182" Target="https://shs.hal.science/halshs-03037748" TargetMode="External" /><Relationship Type="http://schemas.openxmlformats.org/officeDocument/2006/relationships/hyperlink" Id="rId173" Target="https://stylo.huma-num.fr" TargetMode="External" /><Relationship Type="http://schemas.openxmlformats.org/officeDocument/2006/relationships/hyperlink" Id="rId176" Target="https://theses.hal.science/CONSORTIUM-HN-ARIANE/" TargetMode="External" /><Relationship Type="http://schemas.openxmlformats.org/officeDocument/2006/relationships/hyperlink" Id="rId158" Target="https://www.arthurperret.fr/cours/" TargetMode="External" /><Relationship Type="http://schemas.openxmlformats.org/officeDocument/2006/relationships/hyperlink" Id="rId160" Target="https://www.arthurperret.fr/cours/ligne-de-commande.html" TargetMode="External" /><Relationship Type="http://schemas.openxmlformats.org/officeDocument/2006/relationships/hyperlink" Id="rId161" Target="https://www.arthurperret.fr/cours/publication-web.html" TargetMode="External" /><Relationship Type="http://schemas.openxmlformats.org/officeDocument/2006/relationships/hyperlink" Id="rId159" Target="https://www.arthurperret.fr/cours/serialisation.html" TargetMode="External" /><Relationship Type="http://schemas.openxmlformats.org/officeDocument/2006/relationships/hyperlink" Id="rId125" Target="https://www.go-fair.org/fair-principles/" TargetMode="External" /><Relationship Type="http://schemas.openxmlformats.org/officeDocument/2006/relationships/hyperlink" Id="rId136" Target="https://www.go-fair.org/fair-principles/542-2/" TargetMode="External" /><Relationship Type="http://schemas.openxmlformats.org/officeDocument/2006/relationships/hyperlink" Id="rId137" Target="https://www.go-fair.org/fair-principles/a1-1-protocol-open-free-universally-implementable/" TargetMode="External" /><Relationship Type="http://schemas.openxmlformats.org/officeDocument/2006/relationships/hyperlink" Id="rId138" Target="https://www.go-fair.org/fair-principles/a1-2-protocol-allows-authentication-authorisation-required/" TargetMode="External" /><Relationship Type="http://schemas.openxmlformats.org/officeDocument/2006/relationships/hyperlink" Id="rId139" Target="https://www.go-fair.org/fair-principles/a2-metadata-accessible-even-data-no-longer-available/" TargetMode="External" /><Relationship Type="http://schemas.openxmlformats.org/officeDocument/2006/relationships/hyperlink" Id="rId135" Target="https://www.go-fair.org/fair-principles/f3-metadata-clearly-explicitly-include-identifier-data-describe/" TargetMode="External" /><Relationship Type="http://schemas.openxmlformats.org/officeDocument/2006/relationships/hyperlink" Id="rId129" Target="https://www.go-fair.org/fair-principles/f4-metadata-registered-indexed-searchable-resource/" TargetMode="External" /><Relationship Type="http://schemas.openxmlformats.org/officeDocument/2006/relationships/hyperlink" Id="rId133" Target="https://www.go-fair.org/fair-principles/fair-data-principles-explained/f1-meta-data-assigned-globally-unique-persistent-identifiers/" TargetMode="External" /><Relationship Type="http://schemas.openxmlformats.org/officeDocument/2006/relationships/hyperlink" Id="rId134" Target="https://www.go-fair.org/fair-principles/fair-data-principles-explained/f2-data-described-rich-metadata/" TargetMode="External" /><Relationship Type="http://schemas.openxmlformats.org/officeDocument/2006/relationships/hyperlink" Id="rId132" Target="https://www.go-fair.org/fair-principles/fairification-process/" TargetMode="External" /><Relationship Type="http://schemas.openxmlformats.org/officeDocument/2006/relationships/hyperlink" Id="rId140" Target="https://www.go-fair.org/fair-principles/i1-metadata-use-formal-accessible-shared-broadly-applicable-language-knowledge-representation/" TargetMode="External" /><Relationship Type="http://schemas.openxmlformats.org/officeDocument/2006/relationships/hyperlink" Id="rId141" Target="https://www.go-fair.org/fair-principles/i2-metadata-use-vocabularies-follow-fair-principles/" TargetMode="External" /><Relationship Type="http://schemas.openxmlformats.org/officeDocument/2006/relationships/hyperlink" Id="rId142" Target="https://www.go-fair.org/fair-principles/i3-metadata-include-qualified-references-metadata/" TargetMode="External" /><Relationship Type="http://schemas.openxmlformats.org/officeDocument/2006/relationships/hyperlink" Id="rId144" Target="https://www.go-fair.org/fair-principles/r1-1-metadata-released-clear-accessible-data-usage-license/" TargetMode="External" /><Relationship Type="http://schemas.openxmlformats.org/officeDocument/2006/relationships/hyperlink" Id="rId145" Target="https://www.go-fair.org/fair-principles/r1-2-metadata-associated-detailed-provenance/" TargetMode="External" /><Relationship Type="http://schemas.openxmlformats.org/officeDocument/2006/relationships/hyperlink" Id="rId146" Target="https://www.go-fair.org/fair-principles/r1-3-metadata-meet-domain-relevant-community-standards/" TargetMode="External" /><Relationship Type="http://schemas.openxmlformats.org/officeDocument/2006/relationships/hyperlink" Id="rId143" Target="https://www.go-fair.org/fair-principles/r1-metadata-richly-described-plurality-accurate-relevant-attributes/" TargetMode="External" /><Relationship Type="http://schemas.openxmlformats.org/officeDocument/2006/relationships/hyperlink" Id="rId61" Target="https://www.huma-num.fr/quest-ce-que-l-ir-huma-num/" TargetMode="External" /><Relationship Type="http://schemas.openxmlformats.org/officeDocument/2006/relationships/hyperlink" Id="rId190" Target="https://www.nature.com/articles/sdata201618" TargetMode="External" /><Relationship Type="http://schemas.openxmlformats.org/officeDocument/2006/relationships/hyperlink" Id="rId169" Target="https://zenodo.org/communities/hn_lab" TargetMode="External" /><Relationship Type="http://schemas.openxmlformats.org/officeDocument/2006/relationships/hyperlink" Id="rId188" Target="https://zenodo.org/communities/hn_lab/"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 Huma-Num : Trouvez votre consortium et utilisez les outils disponibles</dc:title>
  <dc:creator>Julien Rabaud</dc:creator>
  <dc:language>fr</dc:language>
  <cp:keywords/>
  <dcterms:created xsi:type="dcterms:W3CDTF">2024-11-20T13:15:37Z</dcterms:created>
  <dcterms:modified xsi:type="dcterms:W3CDTF">2024-11-20T13:15:37Z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rossref">
    <vt:lpwstr/>
  </property>
  <property fmtid="{D5CDD505-2E9C-101B-9397-08002B2CF9AE}" pid="10" name="csl">
    <vt:lpwstr>sciences-po-ecole-doctorale-author-date.csl</vt:lpwstr>
  </property>
  <property fmtid="{D5CDD505-2E9C-101B-9397-08002B2CF9AE}" pid="11" name="date">
    <vt:lpwstr>2024-11-18</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subtitle">
    <vt:lpwstr>UPPA - ED 481 SSH / Outils pour les humanités numériques</vt:lpwstr>
  </property>
  <property fmtid="{D5CDD505-2E9C-101B-9397-08002B2CF9AE}" pid="17" name="template-partials">
    <vt:lpwstr/>
  </property>
  <property fmtid="{D5CDD505-2E9C-101B-9397-08002B2CF9AE}" pid="18" name="toc-title">
    <vt:lpwstr>Sommaire</vt:lpwstr>
  </property>
</Properties>
</file>